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13:46:42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ANTE RUDANA 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21222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84238675791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</w:rPr>
              <w:t xml:space="preserve">PRIJEDLOG PRORAČUNA ZA 2022. GODINU SA PROJEKCIJAMA ZA 2023.-2024.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934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A. RAČUN PRIHODA I RASHODA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36.534.500,00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35.474.500,00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35.519.500,00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20.119.500,00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19.778.500,00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20.023.500,00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98,31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16.010.000,00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15.291.000,00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15.091.000,00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95,51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98,69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RAZLIKA - MANJAK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B. RAČUN ZADUŽIVANJA/FINANCIRANJA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NETO ZADUŽIVANJE/FINANCIRANJE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-405.000,00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VIŠAK/MANJAK + NETO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13:46:42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A. RAČUN PRIHODA I 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36.534.500,00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35.474.500,00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35.519.500,00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97,10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100,13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14.282.000,00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12.571.000,00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12.896.000,00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88,02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9.143.000,00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9.822.000,00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10.687.000,00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10.257.000,00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95,98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od međunarodnih organizacija te institucija i tijela EU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3.345.000,00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6.477.000,00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2.156.500,00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2.206.500,00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2.256.500,00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2.126.000,00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9.404.000,00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97,19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7.869.000,00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Donacije od pravnih i fizičkih osoba izvan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20.119.500,00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19.778.500,00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20.023.500,00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98,31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101,24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99,52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4.480.000,00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4.920.000,00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103,14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2.880.000,00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1.460.000,00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12.925.000,00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12.164.000,00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12.209.000,00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94,11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1.970.000,00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9.943.000,00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13:46:42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198.500,00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102,46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107,22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1.696.000,00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1.721.000,00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104,95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1.506.000,00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Izvanredni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16.010.000,00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15.291.000,00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15.091.000,00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95,51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98,69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15.241.000,00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15.041.000,00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102,56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98,69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11.535.000,00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2.985.000,00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4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MARINA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21.10.2021.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13:46:42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B. RAČUN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javn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</w:rPr>
  </w:style>
  <w:style w:type="paragraph" w:styleId="rgp2">
    <w:name w:val="rgp2"/>
    <w:qFormat/>
    <w:basedOn w:val="DefaultStyle"/>
    <w:pPr>
      <w:ind/>
    </w:pPr>
    <w:rPr>
      <w:color w:val="FFFFFF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 </w:rPr>
  </w:style>
  <w:style w:type="paragraph" w:styleId="prog2">
    <w:name w:val="prog2"/>
    <w:qFormat/>
    <w:basedOn w:val="DefaultStyle"/>
    <w:pPr>
      <w:ind/>
    </w:pPr>
    <w:rPr>
       </w:rPr>
  </w:style>
  <w:style w:type="paragraph" w:styleId="prog3">
    <w:name w:val="prog3"/>
    <w:qFormat/>
    <w:basedOn w:val="DefaultStyle"/>
    <w:pPr>
      <w:ind/>
    </w:pPr>
    <w:rPr>
   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 </w:rPr>
  </w:style>
  <w:style w:type="paragraph" w:styleId="fun3">
    <w:name w:val="fun3"/>
    <w:qFormat/>
    <w:basedOn w:val="DefaultStyle"/>
    <w:pPr>
      <w:ind/>
    </w:pPr>
    <w:rPr>
       </w:rPr>
  </w:style>
  <w:style w:type="paragraph" w:styleId="izv1">
    <w:name w:val="izv1"/>
    <w:qFormat/>
    <w:basedOn w:val="DefaultStyle"/>
    <w:pPr>
      <w:ind/>
    </w:pPr>
    <w:rPr>
   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  <w:style w:type="paragraph" w:styleId="UvjetniStil|11">
    <w:name w:val="UvjetniStil|11"/>
    <w:qFormat/>
    <w:pPr>
      <w:ind/>
    </w:pPr>
    <w:rPr>
      <w:rFonts w:ascii="Arimo" w:hAnsi="Arimo" w:eastAsia="Arimo" w:cs="Arimo"/>
      <w:color w:val="FFFFFF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