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223" w:rsidRDefault="00DB5223" w:rsidP="00DB5223">
      <w:pPr>
        <w:pStyle w:val="Bezproreda"/>
        <w:rPr>
          <w:rFonts w:ascii="Times New Roman" w:hAnsi="Times New Roman" w:cs="Times New Roman"/>
        </w:rPr>
      </w:pPr>
      <w:r w:rsidRPr="00DB5223">
        <w:rPr>
          <w:rFonts w:ascii="Times New Roman" w:hAnsi="Times New Roman" w:cs="Times New Roman"/>
        </w:rPr>
        <w:t>REPUBLIKA HRVATSKA</w:t>
      </w:r>
    </w:p>
    <w:p w:rsidR="00DB5223" w:rsidRDefault="00DB5223" w:rsidP="00DB5223">
      <w:pPr>
        <w:pStyle w:val="Bezproreda"/>
        <w:rPr>
          <w:rFonts w:ascii="Times New Roman" w:hAnsi="Times New Roman" w:cs="Times New Roman"/>
        </w:rPr>
      </w:pPr>
      <w:r>
        <w:rPr>
          <w:rFonts w:ascii="Times New Roman" w:hAnsi="Times New Roman" w:cs="Times New Roman"/>
        </w:rPr>
        <w:t>SPLITSKO DALMATINSKA ŽUPANIJA</w:t>
      </w:r>
    </w:p>
    <w:p w:rsidR="00DB5223" w:rsidRDefault="00DB5223" w:rsidP="00DB5223">
      <w:pPr>
        <w:pStyle w:val="Bezproreda"/>
        <w:rPr>
          <w:rFonts w:ascii="Times New Roman" w:hAnsi="Times New Roman" w:cs="Times New Roman"/>
        </w:rPr>
      </w:pPr>
      <w:r>
        <w:rPr>
          <w:rFonts w:ascii="Times New Roman" w:hAnsi="Times New Roman" w:cs="Times New Roman"/>
        </w:rPr>
        <w:t>OPĆINA MARINA</w:t>
      </w:r>
    </w:p>
    <w:p w:rsidR="00DB5223" w:rsidRDefault="00DB5223" w:rsidP="00DB5223">
      <w:pPr>
        <w:pStyle w:val="Bezproreda"/>
        <w:rPr>
          <w:rFonts w:ascii="Times New Roman" w:hAnsi="Times New Roman" w:cs="Times New Roman"/>
        </w:rPr>
      </w:pPr>
      <w:r>
        <w:rPr>
          <w:rFonts w:ascii="Times New Roman" w:hAnsi="Times New Roman" w:cs="Times New Roman"/>
        </w:rPr>
        <w:t>JEDINSTVENI UPRAVNI ODJEL</w:t>
      </w: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Pr="005E5276" w:rsidRDefault="00DB5223" w:rsidP="00DB5223">
      <w:pPr>
        <w:pStyle w:val="Bezproreda"/>
        <w:rPr>
          <w:rFonts w:ascii="Times New Roman" w:hAnsi="Times New Roman" w:cs="Times New Roman"/>
          <w:b/>
          <w:bCs/>
        </w:rPr>
      </w:pPr>
      <w:r w:rsidRPr="005E5276">
        <w:rPr>
          <w:rFonts w:ascii="Times New Roman" w:hAnsi="Times New Roman" w:cs="Times New Roman"/>
          <w:b/>
          <w:bCs/>
        </w:rPr>
        <w:t>UPUTE ZA IZRADU PRIJEDLOGA PRORAČUNA I FINANCIJSKOG PLANA PRORAČUNSKIH</w:t>
      </w:r>
    </w:p>
    <w:p w:rsidR="00DB5223" w:rsidRPr="005E5276" w:rsidRDefault="00DB5223" w:rsidP="00DB5223">
      <w:pPr>
        <w:pStyle w:val="Bezproreda"/>
        <w:rPr>
          <w:rFonts w:ascii="Times New Roman" w:hAnsi="Times New Roman" w:cs="Times New Roman"/>
          <w:b/>
          <w:bCs/>
        </w:rPr>
      </w:pPr>
      <w:r w:rsidRPr="005E5276">
        <w:rPr>
          <w:rFonts w:ascii="Times New Roman" w:hAnsi="Times New Roman" w:cs="Times New Roman"/>
          <w:b/>
          <w:bCs/>
        </w:rPr>
        <w:t>KORISNIKA OPĆINE MARINA ZA RAZDOBLJE 2022.-2024.</w:t>
      </w:r>
    </w:p>
    <w:p w:rsidR="00DB5223" w:rsidRPr="005E5276" w:rsidRDefault="00DB5223" w:rsidP="00DB5223">
      <w:pPr>
        <w:pStyle w:val="Bezproreda"/>
        <w:rPr>
          <w:rFonts w:ascii="Times New Roman" w:hAnsi="Times New Roman" w:cs="Times New Roman"/>
          <w:b/>
          <w:bCs/>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r>
        <w:rPr>
          <w:rFonts w:ascii="Times New Roman" w:hAnsi="Times New Roman" w:cs="Times New Roman"/>
        </w:rPr>
        <w:t>Marina, rujan 2021.</w:t>
      </w: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p>
    <w:p w:rsidR="00DB5223" w:rsidRPr="005E5276" w:rsidRDefault="00DB5223" w:rsidP="00DB5223">
      <w:pPr>
        <w:pStyle w:val="Bezproreda"/>
        <w:numPr>
          <w:ilvl w:val="0"/>
          <w:numId w:val="1"/>
        </w:numPr>
        <w:rPr>
          <w:rFonts w:ascii="Times New Roman" w:hAnsi="Times New Roman" w:cs="Times New Roman"/>
          <w:b/>
          <w:bCs/>
        </w:rPr>
      </w:pPr>
      <w:r w:rsidRPr="005E5276">
        <w:rPr>
          <w:rFonts w:ascii="Times New Roman" w:hAnsi="Times New Roman" w:cs="Times New Roman"/>
          <w:b/>
          <w:bCs/>
        </w:rPr>
        <w:t>UVOD</w:t>
      </w:r>
    </w:p>
    <w:p w:rsidR="00DB5223" w:rsidRDefault="00DB5223" w:rsidP="00DB5223">
      <w:pPr>
        <w:pStyle w:val="Bezproreda"/>
        <w:rPr>
          <w:rFonts w:ascii="Times New Roman" w:hAnsi="Times New Roman" w:cs="Times New Roman"/>
        </w:rPr>
      </w:pPr>
      <w:r>
        <w:rPr>
          <w:rFonts w:ascii="Times New Roman" w:hAnsi="Times New Roman" w:cs="Times New Roman"/>
        </w:rPr>
        <w:t>Sukladno Zakonu o proračunu (Narodne novine, br.87/08, 136/12. i 15/15) Ministarstvo financija je sastavilo Upute za izradu proračuna jedinica lokalne i područne (regionalne) samouprave za razdoblje 2021.-2023. Iste su objavljene na stanici Ministarstva financija (pod Proračun/Lokalni proračun).</w:t>
      </w:r>
    </w:p>
    <w:p w:rsidR="00DB5223" w:rsidRDefault="00DB5223" w:rsidP="00DB5223">
      <w:pPr>
        <w:pStyle w:val="Bezproreda"/>
        <w:rPr>
          <w:rFonts w:ascii="Times New Roman" w:hAnsi="Times New Roman" w:cs="Times New Roman"/>
        </w:rPr>
      </w:pPr>
    </w:p>
    <w:p w:rsidR="00DB5223" w:rsidRDefault="00DB5223" w:rsidP="00DB5223">
      <w:pPr>
        <w:pStyle w:val="Bezproreda"/>
        <w:rPr>
          <w:rFonts w:ascii="Times New Roman" w:hAnsi="Times New Roman" w:cs="Times New Roman"/>
        </w:rPr>
      </w:pPr>
      <w:r>
        <w:rPr>
          <w:rFonts w:ascii="Times New Roman" w:hAnsi="Times New Roman" w:cs="Times New Roman"/>
        </w:rPr>
        <w:t>Na temelju istih Općina Marina izradila je Upute na temelju poznatih veličina, pokazatelja i metodologije izrade proračuna i financijskih planova</w:t>
      </w:r>
      <w:r w:rsidR="005338FB">
        <w:rPr>
          <w:rFonts w:ascii="Times New Roman" w:hAnsi="Times New Roman" w:cs="Times New Roman"/>
        </w:rPr>
        <w:t xml:space="preserve"> korisnika za 2022.godinu s projekcijama za 2023. i 2024.</w:t>
      </w:r>
    </w:p>
    <w:p w:rsidR="005338FB" w:rsidRDefault="005338FB" w:rsidP="00DB5223">
      <w:pPr>
        <w:pStyle w:val="Bezproreda"/>
        <w:rPr>
          <w:rFonts w:ascii="Times New Roman" w:hAnsi="Times New Roman" w:cs="Times New Roman"/>
        </w:rPr>
      </w:pPr>
    </w:p>
    <w:p w:rsidR="005338FB" w:rsidRDefault="005338FB" w:rsidP="00DB5223">
      <w:pPr>
        <w:pStyle w:val="Bezproreda"/>
        <w:rPr>
          <w:rFonts w:ascii="Times New Roman" w:hAnsi="Times New Roman" w:cs="Times New Roman"/>
        </w:rPr>
      </w:pPr>
      <w:r>
        <w:rPr>
          <w:rFonts w:ascii="Times New Roman" w:hAnsi="Times New Roman" w:cs="Times New Roman"/>
        </w:rPr>
        <w:t>Rokovi i metodologija za izradu proračuna utvrđeni su Zakonom o proračunu.</w:t>
      </w:r>
    </w:p>
    <w:p w:rsidR="005338FB" w:rsidRDefault="005338FB" w:rsidP="00DB5223">
      <w:pPr>
        <w:pStyle w:val="Bezproreda"/>
        <w:rPr>
          <w:rFonts w:ascii="Times New Roman" w:hAnsi="Times New Roman" w:cs="Times New Roman"/>
        </w:rPr>
      </w:pPr>
      <w:r>
        <w:rPr>
          <w:rFonts w:ascii="Times New Roman" w:hAnsi="Times New Roman" w:cs="Times New Roman"/>
        </w:rPr>
        <w:t>Pri izradi prijedloga proračuna/financijskog plana potrebno je koristiti odredbe Zakona o proračuna (NN 87/08, 136/12 i 15/15) i odredbe podzakonskih akata: Pravilnika o proračunskom računovodstvu i računskom planu (NN 124/14,115/15,87/16,3/18,126/16. i 108/20), Pravilnika o proračunskim klasifikacijama (NN 26/10, 120/13, i 01/20) te osobito Zakona o fiskalnoj odgovornosti (NN 111/18) kojim se određuju pravila kojima se ograničava potrošnja i jača odgovornost za zakonito, namjensko i svrhovito korištenje proračunskih sredstava.</w:t>
      </w:r>
    </w:p>
    <w:p w:rsidR="005338FB" w:rsidRDefault="005338FB" w:rsidP="00DB5223">
      <w:pPr>
        <w:pStyle w:val="Bezproreda"/>
        <w:rPr>
          <w:rFonts w:ascii="Times New Roman" w:hAnsi="Times New Roman" w:cs="Times New Roman"/>
        </w:rPr>
      </w:pPr>
    </w:p>
    <w:p w:rsidR="005338FB" w:rsidRDefault="005338FB" w:rsidP="00DB5223">
      <w:pPr>
        <w:pStyle w:val="Bezproreda"/>
        <w:rPr>
          <w:rFonts w:ascii="Times New Roman" w:hAnsi="Times New Roman" w:cs="Times New Roman"/>
        </w:rPr>
      </w:pPr>
      <w:r>
        <w:rPr>
          <w:rFonts w:ascii="Times New Roman" w:hAnsi="Times New Roman" w:cs="Times New Roman"/>
        </w:rPr>
        <w:t>Kod izrade proračuna jedinice lokalne i područne (regionalne) samouprave trebaju voditi računa o njegovom izvršavanju i odredbama Pravilnika o polugodišnjem i godišnjem izvještaju o izvršenju proračuna (NN 24/13, 102/17. i 01/20).</w:t>
      </w:r>
    </w:p>
    <w:p w:rsidR="005338FB" w:rsidRDefault="005338FB" w:rsidP="00DB5223">
      <w:pPr>
        <w:pStyle w:val="Bezproreda"/>
        <w:rPr>
          <w:rFonts w:ascii="Times New Roman" w:hAnsi="Times New Roman" w:cs="Times New Roman"/>
        </w:rPr>
      </w:pPr>
    </w:p>
    <w:p w:rsidR="005338FB" w:rsidRDefault="005338FB" w:rsidP="00DB5223">
      <w:pPr>
        <w:pStyle w:val="Bezproreda"/>
        <w:rPr>
          <w:rFonts w:ascii="Times New Roman" w:hAnsi="Times New Roman" w:cs="Times New Roman"/>
        </w:rPr>
      </w:pPr>
      <w:r>
        <w:rPr>
          <w:rFonts w:ascii="Times New Roman" w:hAnsi="Times New Roman" w:cs="Times New Roman"/>
        </w:rPr>
        <w:t>Odredbe ovih propisa odnose se na proračunskog korisnika Općine Marina.</w:t>
      </w:r>
    </w:p>
    <w:p w:rsidR="005338FB" w:rsidRDefault="005338FB" w:rsidP="00DB5223">
      <w:pPr>
        <w:pStyle w:val="Bezproreda"/>
        <w:rPr>
          <w:rFonts w:ascii="Times New Roman" w:hAnsi="Times New Roman" w:cs="Times New Roman"/>
        </w:rPr>
      </w:pPr>
    </w:p>
    <w:p w:rsidR="005338FB" w:rsidRDefault="005338FB" w:rsidP="00DB5223">
      <w:pPr>
        <w:pStyle w:val="Bezproreda"/>
        <w:rPr>
          <w:rFonts w:ascii="Times New Roman" w:hAnsi="Times New Roman" w:cs="Times New Roman"/>
        </w:rPr>
      </w:pPr>
      <w:r>
        <w:rPr>
          <w:rFonts w:ascii="Times New Roman" w:hAnsi="Times New Roman" w:cs="Times New Roman"/>
        </w:rPr>
        <w:t>Ove upute sadrže:</w:t>
      </w:r>
    </w:p>
    <w:p w:rsidR="005338FB" w:rsidRDefault="005338FB" w:rsidP="005338FB">
      <w:pPr>
        <w:pStyle w:val="Bezproreda"/>
        <w:numPr>
          <w:ilvl w:val="0"/>
          <w:numId w:val="2"/>
        </w:numPr>
        <w:rPr>
          <w:rFonts w:ascii="Times New Roman" w:hAnsi="Times New Roman" w:cs="Times New Roman"/>
        </w:rPr>
      </w:pPr>
      <w:r>
        <w:rPr>
          <w:rFonts w:ascii="Times New Roman" w:hAnsi="Times New Roman" w:cs="Times New Roman"/>
        </w:rPr>
        <w:t>Temeljna ekonomska ishodišta i pretpostavke za izradu prijedloga proračuna Općine Marina</w:t>
      </w:r>
    </w:p>
    <w:p w:rsidR="005338FB" w:rsidRDefault="005338FB" w:rsidP="005338FB">
      <w:pPr>
        <w:pStyle w:val="Bezproreda"/>
        <w:numPr>
          <w:ilvl w:val="0"/>
          <w:numId w:val="2"/>
        </w:numPr>
        <w:rPr>
          <w:rFonts w:ascii="Times New Roman" w:hAnsi="Times New Roman" w:cs="Times New Roman"/>
        </w:rPr>
      </w:pPr>
      <w:r>
        <w:rPr>
          <w:rFonts w:ascii="Times New Roman" w:hAnsi="Times New Roman" w:cs="Times New Roman"/>
        </w:rPr>
        <w:t>Metodologiju izrade prijedloga proračuna JL(R)S</w:t>
      </w:r>
    </w:p>
    <w:p w:rsidR="005338FB" w:rsidRDefault="005338FB" w:rsidP="005338FB">
      <w:pPr>
        <w:pStyle w:val="Bezproreda"/>
        <w:numPr>
          <w:ilvl w:val="0"/>
          <w:numId w:val="2"/>
        </w:numPr>
        <w:rPr>
          <w:rFonts w:ascii="Times New Roman" w:hAnsi="Times New Roman" w:cs="Times New Roman"/>
        </w:rPr>
      </w:pPr>
      <w:r>
        <w:rPr>
          <w:rFonts w:ascii="Times New Roman" w:hAnsi="Times New Roman" w:cs="Times New Roman"/>
        </w:rPr>
        <w:t>Metodologiju izrade prijedloga financijskog plana proračunskog korisnika</w:t>
      </w:r>
    </w:p>
    <w:p w:rsidR="005338FB" w:rsidRDefault="007A5C97" w:rsidP="005338FB">
      <w:pPr>
        <w:pStyle w:val="Bezproreda"/>
        <w:numPr>
          <w:ilvl w:val="0"/>
          <w:numId w:val="2"/>
        </w:numPr>
        <w:rPr>
          <w:rFonts w:ascii="Times New Roman" w:hAnsi="Times New Roman" w:cs="Times New Roman"/>
        </w:rPr>
      </w:pPr>
      <w:r>
        <w:rPr>
          <w:rFonts w:ascii="Times New Roman" w:hAnsi="Times New Roman" w:cs="Times New Roman"/>
        </w:rPr>
        <w:t>Prijedlog visine financijskog plana (limite rashoda) proračunskog korisnika koji sadrži visinu financijskog plana za prethodnu i tekuću godinu te prijedlog visine financijskog plana za slijedeću proračunsku godinu i za iduće dvije.</w:t>
      </w:r>
    </w:p>
    <w:p w:rsidR="007A5C97" w:rsidRDefault="007A5C97" w:rsidP="007A5C97">
      <w:pPr>
        <w:pStyle w:val="Bezproreda"/>
        <w:rPr>
          <w:rFonts w:ascii="Times New Roman" w:hAnsi="Times New Roman" w:cs="Times New Roman"/>
        </w:rPr>
      </w:pPr>
    </w:p>
    <w:p w:rsidR="007A5C97" w:rsidRPr="005E5276" w:rsidRDefault="007A5C97" w:rsidP="007A5C97">
      <w:pPr>
        <w:pStyle w:val="Bezproreda"/>
        <w:numPr>
          <w:ilvl w:val="0"/>
          <w:numId w:val="3"/>
        </w:numPr>
        <w:rPr>
          <w:rFonts w:ascii="Times New Roman" w:hAnsi="Times New Roman" w:cs="Times New Roman"/>
          <w:b/>
          <w:bCs/>
        </w:rPr>
      </w:pPr>
      <w:r w:rsidRPr="005E5276">
        <w:rPr>
          <w:rFonts w:ascii="Times New Roman" w:hAnsi="Times New Roman" w:cs="Times New Roman"/>
          <w:b/>
          <w:bCs/>
        </w:rPr>
        <w:t>TEMELJNA EKONOMSKA ISHODIŠTA I PRETPOSTAVKE ZA IZRADU PRIJEDLOGA PRORAČUNA OPĆINE MARINA</w:t>
      </w:r>
    </w:p>
    <w:p w:rsidR="005338FB" w:rsidRDefault="007A5C97" w:rsidP="005338FB">
      <w:pPr>
        <w:pStyle w:val="Bezproreda"/>
        <w:rPr>
          <w:rFonts w:ascii="Times New Roman" w:hAnsi="Times New Roman" w:cs="Times New Roman"/>
        </w:rPr>
      </w:pPr>
      <w:r>
        <w:rPr>
          <w:rFonts w:ascii="Times New Roman" w:hAnsi="Times New Roman" w:cs="Times New Roman"/>
        </w:rPr>
        <w:t>Temeljem Uputa Ministarstva financija, Jedinstveni upravni odjel Općine Marina izradio je ove Upute za izradu Proračuna i financijskog plana proračunskog korisnika Općine Marina za razdoblje od 2022.- 2024.godine. Osnovni ciljevi Proračuna Općine Marina u slijedećem trogodišnjem razdoblju usmjereni su poduzimanju svih mjera i aktivnosti za podizanje životnog standarda mještana osobito za:</w:t>
      </w:r>
    </w:p>
    <w:p w:rsidR="007A5C97" w:rsidRDefault="007A5C97" w:rsidP="007A5C97">
      <w:pPr>
        <w:pStyle w:val="Bezproreda"/>
        <w:numPr>
          <w:ilvl w:val="0"/>
          <w:numId w:val="2"/>
        </w:numPr>
        <w:rPr>
          <w:rFonts w:ascii="Times New Roman" w:hAnsi="Times New Roman" w:cs="Times New Roman"/>
        </w:rPr>
      </w:pPr>
      <w:r>
        <w:rPr>
          <w:rFonts w:ascii="Times New Roman" w:hAnsi="Times New Roman" w:cs="Times New Roman"/>
        </w:rPr>
        <w:t>Jačanje gospodarskog i turističkog razvitka Općine Marina</w:t>
      </w:r>
    </w:p>
    <w:p w:rsidR="007A5C97" w:rsidRDefault="007A5C97" w:rsidP="007A5C97">
      <w:pPr>
        <w:pStyle w:val="Bezproreda"/>
        <w:numPr>
          <w:ilvl w:val="0"/>
          <w:numId w:val="2"/>
        </w:numPr>
        <w:rPr>
          <w:rFonts w:ascii="Times New Roman" w:hAnsi="Times New Roman" w:cs="Times New Roman"/>
        </w:rPr>
      </w:pPr>
      <w:r>
        <w:rPr>
          <w:rFonts w:ascii="Times New Roman" w:hAnsi="Times New Roman" w:cs="Times New Roman"/>
        </w:rPr>
        <w:t>Unapređenje i održivo korištenje infrastrukture, prostora i resursa, a prioriteti su razvoj infrastrukture, zaštita okoliša, obnova, očuvanje i održivo korištenje prirodne i kulturne baštine</w:t>
      </w:r>
    </w:p>
    <w:p w:rsidR="007A5C97" w:rsidRDefault="007A5C97" w:rsidP="007A5C97">
      <w:pPr>
        <w:pStyle w:val="Bezproreda"/>
        <w:numPr>
          <w:ilvl w:val="0"/>
          <w:numId w:val="2"/>
        </w:numPr>
        <w:rPr>
          <w:rFonts w:ascii="Times New Roman" w:hAnsi="Times New Roman" w:cs="Times New Roman"/>
        </w:rPr>
      </w:pPr>
      <w:r>
        <w:rPr>
          <w:rFonts w:ascii="Times New Roman" w:hAnsi="Times New Roman" w:cs="Times New Roman"/>
        </w:rPr>
        <w:t xml:space="preserve">Postizanje kvalitete </w:t>
      </w:r>
      <w:r w:rsidR="0074584D">
        <w:rPr>
          <w:rFonts w:ascii="Times New Roman" w:hAnsi="Times New Roman" w:cs="Times New Roman"/>
        </w:rPr>
        <w:t>života i socijalne uključenosti kroz unapređenje dostupnosti i kvalitete društvenih usluga, razvoj civilnog društva i unapređenje socijalnih usluga.</w:t>
      </w:r>
    </w:p>
    <w:p w:rsidR="0074584D" w:rsidRDefault="0074584D" w:rsidP="0074584D">
      <w:pPr>
        <w:pStyle w:val="Bezproreda"/>
        <w:rPr>
          <w:rFonts w:ascii="Times New Roman" w:hAnsi="Times New Roman" w:cs="Times New Roman"/>
        </w:rPr>
      </w:pPr>
    </w:p>
    <w:p w:rsidR="0074584D" w:rsidRPr="005E5276" w:rsidRDefault="0074584D" w:rsidP="0074584D">
      <w:pPr>
        <w:pStyle w:val="Bezproreda"/>
        <w:numPr>
          <w:ilvl w:val="0"/>
          <w:numId w:val="3"/>
        </w:numPr>
        <w:rPr>
          <w:rFonts w:ascii="Times New Roman" w:hAnsi="Times New Roman" w:cs="Times New Roman"/>
          <w:b/>
          <w:bCs/>
        </w:rPr>
      </w:pPr>
      <w:r w:rsidRPr="005E5276">
        <w:rPr>
          <w:rFonts w:ascii="Times New Roman" w:hAnsi="Times New Roman" w:cs="Times New Roman"/>
          <w:b/>
          <w:bCs/>
        </w:rPr>
        <w:t>METODOLOGIJA IZRADE PRIJEDLOGA PRORAČUNA JEDINICE LOKLANE (REGIONALNE) SAMOUPRAVE</w:t>
      </w:r>
    </w:p>
    <w:p w:rsidR="0074584D" w:rsidRDefault="0074584D" w:rsidP="0074584D">
      <w:pPr>
        <w:pStyle w:val="Bezproreda"/>
        <w:ind w:left="360"/>
        <w:rPr>
          <w:rFonts w:ascii="Times New Roman" w:hAnsi="Times New Roman" w:cs="Times New Roman"/>
        </w:rPr>
      </w:pPr>
      <w:r>
        <w:rPr>
          <w:rFonts w:ascii="Times New Roman" w:hAnsi="Times New Roman" w:cs="Times New Roman"/>
        </w:rPr>
        <w:t>Metodologija izrade Proračuna propisana je Zakonom o proračunu i podzakonskim aktima: Pravilnikom o proračunskim klasifikacijama (NN 26/10, 120/13) i Pravilnikom o proračunskom računovodstvu i Računskom planu.</w:t>
      </w:r>
    </w:p>
    <w:p w:rsidR="0074584D" w:rsidRDefault="0074584D" w:rsidP="0074584D">
      <w:pPr>
        <w:pStyle w:val="Bezproreda"/>
        <w:ind w:left="360"/>
        <w:rPr>
          <w:rFonts w:ascii="Times New Roman" w:hAnsi="Times New Roman" w:cs="Times New Roman"/>
        </w:rPr>
      </w:pPr>
      <w:r>
        <w:rPr>
          <w:rFonts w:ascii="Times New Roman" w:hAnsi="Times New Roman" w:cs="Times New Roman"/>
        </w:rPr>
        <w:t>Nakon primitka Uputa za izradu proračuna, jedinice lokalne i područne (regionalne)samouprave, Jedinstveni upravni odjel Općine Marina</w:t>
      </w:r>
      <w:r w:rsidR="00525EB9">
        <w:rPr>
          <w:rFonts w:ascii="Times New Roman" w:hAnsi="Times New Roman" w:cs="Times New Roman"/>
        </w:rPr>
        <w:t xml:space="preserve"> izrađuje Upute za izradu Proračuna Općine Marina za razdoblje 2022.-2024. i dostavlja ih proračunskom korisniku Dječjem vrtiću Marina. Na temelju dobivenih uputa proračunski korisnik dužan je izraditi i dostaviti prijedlog financijskog plana Jedinstvenom upravnom odjelu Općine Marina do 1</w:t>
      </w:r>
      <w:r w:rsidR="00AE0459">
        <w:rPr>
          <w:rFonts w:ascii="Times New Roman" w:hAnsi="Times New Roman" w:cs="Times New Roman"/>
        </w:rPr>
        <w:t>5</w:t>
      </w:r>
      <w:r w:rsidR="00525EB9">
        <w:rPr>
          <w:rFonts w:ascii="Times New Roman" w:hAnsi="Times New Roman" w:cs="Times New Roman"/>
        </w:rPr>
        <w:t xml:space="preserve">. listopada 2021. godine. Jedinstveni upravni </w:t>
      </w:r>
      <w:r w:rsidR="00525EB9">
        <w:rPr>
          <w:rFonts w:ascii="Times New Roman" w:hAnsi="Times New Roman" w:cs="Times New Roman"/>
        </w:rPr>
        <w:lastRenderedPageBreak/>
        <w:t>odjel izrađuje Nacrt prijedloga Proračuna za 2022. sa projekcijama za 20</w:t>
      </w:r>
      <w:r w:rsidR="00AE0459">
        <w:rPr>
          <w:rFonts w:ascii="Times New Roman" w:hAnsi="Times New Roman" w:cs="Times New Roman"/>
        </w:rPr>
        <w:t>2</w:t>
      </w:r>
      <w:r w:rsidR="00525EB9">
        <w:rPr>
          <w:rFonts w:ascii="Times New Roman" w:hAnsi="Times New Roman" w:cs="Times New Roman"/>
        </w:rPr>
        <w:t>3-2024. najkasnije do 01.studenog 2021. i dostavlja ga Općinskom načelniku. Općinski načelnik utvrđuje prijedlog proračuna i projekcije te ga dostavlja Općinskom vijeću na donošenje najkasnije do 15.11.2021.godine.</w:t>
      </w:r>
    </w:p>
    <w:p w:rsidR="00525EB9" w:rsidRDefault="00525EB9" w:rsidP="0074584D">
      <w:pPr>
        <w:pStyle w:val="Bezproreda"/>
        <w:ind w:left="360"/>
        <w:rPr>
          <w:rFonts w:ascii="Times New Roman" w:hAnsi="Times New Roman" w:cs="Times New Roman"/>
        </w:rPr>
      </w:pPr>
    </w:p>
    <w:p w:rsidR="00525EB9" w:rsidRPr="005E5276" w:rsidRDefault="00525EB9" w:rsidP="00525EB9">
      <w:pPr>
        <w:pStyle w:val="Bezproreda"/>
        <w:numPr>
          <w:ilvl w:val="0"/>
          <w:numId w:val="3"/>
        </w:numPr>
        <w:rPr>
          <w:rFonts w:ascii="Times New Roman" w:hAnsi="Times New Roman" w:cs="Times New Roman"/>
          <w:b/>
          <w:bCs/>
        </w:rPr>
      </w:pPr>
      <w:r w:rsidRPr="005E5276">
        <w:rPr>
          <w:rFonts w:ascii="Times New Roman" w:hAnsi="Times New Roman" w:cs="Times New Roman"/>
          <w:b/>
          <w:bCs/>
        </w:rPr>
        <w:t xml:space="preserve">METODOLOGIJA IZRADE PRIJEDLOGA FINANCIJSKOG PLANA </w:t>
      </w:r>
    </w:p>
    <w:p w:rsidR="00DB5223" w:rsidRDefault="00525EB9" w:rsidP="00DB5223">
      <w:pPr>
        <w:pStyle w:val="Bezproreda"/>
        <w:rPr>
          <w:rFonts w:ascii="Times New Roman" w:hAnsi="Times New Roman" w:cs="Times New Roman"/>
        </w:rPr>
      </w:pPr>
      <w:r>
        <w:rPr>
          <w:rFonts w:ascii="Times New Roman" w:hAnsi="Times New Roman" w:cs="Times New Roman"/>
        </w:rPr>
        <w:t>Proračunski korisnik- Dječji vrtić Marina obavezan je izra</w:t>
      </w:r>
      <w:r w:rsidR="005F6F31">
        <w:rPr>
          <w:rFonts w:ascii="Times New Roman" w:hAnsi="Times New Roman" w:cs="Times New Roman"/>
        </w:rPr>
        <w:t>diti financijski plan u skladu s odredbama Zakona o proračunu i pridržavati se Uputa za izradu proračuna.</w:t>
      </w:r>
    </w:p>
    <w:p w:rsidR="005F6F31" w:rsidRDefault="005F6F31" w:rsidP="00DB5223">
      <w:pPr>
        <w:pStyle w:val="Bezproreda"/>
        <w:rPr>
          <w:rFonts w:ascii="Times New Roman" w:hAnsi="Times New Roman" w:cs="Times New Roman"/>
        </w:rPr>
      </w:pPr>
      <w:r>
        <w:rPr>
          <w:rFonts w:ascii="Times New Roman" w:hAnsi="Times New Roman" w:cs="Times New Roman"/>
        </w:rPr>
        <w:t>Prijedlog financijskog plana proračunskog korisnika obuhvaća:</w:t>
      </w:r>
    </w:p>
    <w:p w:rsidR="005F6F31" w:rsidRDefault="005F6F31" w:rsidP="005F6F31">
      <w:pPr>
        <w:pStyle w:val="Bezproreda"/>
        <w:numPr>
          <w:ilvl w:val="0"/>
          <w:numId w:val="2"/>
        </w:numPr>
        <w:rPr>
          <w:rFonts w:ascii="Times New Roman" w:hAnsi="Times New Roman" w:cs="Times New Roman"/>
        </w:rPr>
      </w:pPr>
      <w:r>
        <w:rPr>
          <w:rFonts w:ascii="Times New Roman" w:hAnsi="Times New Roman" w:cs="Times New Roman"/>
        </w:rPr>
        <w:t>Procjenu prihoda i primitaka iskazanih po vrstama za razdoblje 2022-2024.</w:t>
      </w:r>
    </w:p>
    <w:p w:rsidR="005F6F31" w:rsidRDefault="005F6F31" w:rsidP="005F6F31">
      <w:pPr>
        <w:pStyle w:val="Bezproreda"/>
        <w:numPr>
          <w:ilvl w:val="0"/>
          <w:numId w:val="2"/>
        </w:numPr>
        <w:rPr>
          <w:rFonts w:ascii="Times New Roman" w:hAnsi="Times New Roman" w:cs="Times New Roman"/>
        </w:rPr>
      </w:pPr>
      <w:r>
        <w:rPr>
          <w:rFonts w:ascii="Times New Roman" w:hAnsi="Times New Roman" w:cs="Times New Roman"/>
        </w:rPr>
        <w:t>Plan rashoda i izdataka za razdoblje 2022-2024, razvrstane po proračunskim klasifikacijama</w:t>
      </w:r>
    </w:p>
    <w:p w:rsidR="005F6F31" w:rsidRDefault="005F6F31" w:rsidP="005F6F31">
      <w:pPr>
        <w:pStyle w:val="Bezproreda"/>
        <w:numPr>
          <w:ilvl w:val="0"/>
          <w:numId w:val="2"/>
        </w:numPr>
        <w:rPr>
          <w:rFonts w:ascii="Times New Roman" w:hAnsi="Times New Roman" w:cs="Times New Roman"/>
        </w:rPr>
      </w:pPr>
      <w:r>
        <w:rPr>
          <w:rFonts w:ascii="Times New Roman" w:hAnsi="Times New Roman" w:cs="Times New Roman"/>
        </w:rPr>
        <w:t>Obrazloženje financijskog plana.</w:t>
      </w:r>
    </w:p>
    <w:p w:rsidR="005F6F31" w:rsidRDefault="005F6F31" w:rsidP="005F6F31">
      <w:pPr>
        <w:pStyle w:val="Bezproreda"/>
        <w:rPr>
          <w:rFonts w:ascii="Times New Roman" w:hAnsi="Times New Roman" w:cs="Times New Roman"/>
        </w:rPr>
      </w:pPr>
      <w:r>
        <w:rPr>
          <w:rFonts w:ascii="Times New Roman" w:hAnsi="Times New Roman" w:cs="Times New Roman"/>
        </w:rPr>
        <w:t>Prihodi, primitci te rashode i izdatke za 2022. planiraju se na razini podskupine (treća razina računskog plana), a za 203. i 2024. na razini skupine (druga razina računskog plana).</w:t>
      </w:r>
    </w:p>
    <w:p w:rsidR="005F6F31" w:rsidRDefault="005F6F31" w:rsidP="005F6F31">
      <w:pPr>
        <w:pStyle w:val="Bezproreda"/>
        <w:rPr>
          <w:rFonts w:ascii="Times New Roman" w:hAnsi="Times New Roman" w:cs="Times New Roman"/>
        </w:rPr>
      </w:pPr>
      <w:r>
        <w:rPr>
          <w:rFonts w:ascii="Times New Roman" w:hAnsi="Times New Roman" w:cs="Times New Roman"/>
        </w:rPr>
        <w:t>Uz ekonomsku i programsku klasifikaciju, proračunski korisnik u izradi financijskog plana primjenjuje i klasifikaciju po izvorima financiranja.</w:t>
      </w:r>
    </w:p>
    <w:p w:rsidR="005F6F31" w:rsidRDefault="005F6F31" w:rsidP="005F6F31">
      <w:pPr>
        <w:pStyle w:val="Bezproreda"/>
        <w:rPr>
          <w:rFonts w:ascii="Times New Roman" w:hAnsi="Times New Roman" w:cs="Times New Roman"/>
        </w:rPr>
      </w:pPr>
      <w:r>
        <w:rPr>
          <w:rFonts w:ascii="Times New Roman" w:hAnsi="Times New Roman" w:cs="Times New Roman"/>
        </w:rPr>
        <w:t>Upravno vijeće proračunskog korisnika obavezno je financijski plan korisnika usvojiti na razini podskupine (treća razina računskog plana) , a projekcije na razini skupine (druga razina računskog plana).</w:t>
      </w:r>
    </w:p>
    <w:p w:rsidR="005F6F31" w:rsidRDefault="00AF723F" w:rsidP="005F6F31">
      <w:pPr>
        <w:pStyle w:val="Bezproreda"/>
        <w:rPr>
          <w:rFonts w:ascii="Times New Roman" w:hAnsi="Times New Roman" w:cs="Times New Roman"/>
        </w:rPr>
      </w:pPr>
      <w:r>
        <w:rPr>
          <w:rFonts w:ascii="Times New Roman" w:hAnsi="Times New Roman" w:cs="Times New Roman"/>
        </w:rPr>
        <w:t>Vezano za programe i aktivnosti i projekte iz nadležnosti proračunskog korisnika potrebno je pridržavati se isključivo postojećih.</w:t>
      </w:r>
    </w:p>
    <w:p w:rsidR="00AF723F" w:rsidRDefault="00AF723F" w:rsidP="005F6F31">
      <w:pPr>
        <w:pStyle w:val="Bezproreda"/>
        <w:rPr>
          <w:rFonts w:ascii="Times New Roman" w:hAnsi="Times New Roman" w:cs="Times New Roman"/>
        </w:rPr>
      </w:pPr>
      <w:r>
        <w:rPr>
          <w:rFonts w:ascii="Times New Roman" w:hAnsi="Times New Roman" w:cs="Times New Roman"/>
        </w:rPr>
        <w:t>Za eventualno nove programe, aktivnosti i projekte za 2022. godinu potrebno je pismeno kontaktirati Jedinstveni upravni odjel Općine Marina. Proračunski korisnik treba prvenstveno planirati projekte u skladu s utvrđenim prioritetima, raspoloživim sredstvima. Proračunskom korisniku se napominje da visina financijskog plana po razdjelima organizacijske klasifikacije obuhvaća: visinu sredstava potrebnih za provođenje postojećih programa i visinu sredstava potrebnih za uvođenje novih programa.</w:t>
      </w:r>
    </w:p>
    <w:p w:rsidR="00AF723F" w:rsidRDefault="00AF723F" w:rsidP="005F6F31">
      <w:pPr>
        <w:pStyle w:val="Bezproreda"/>
        <w:rPr>
          <w:rFonts w:ascii="Times New Roman" w:hAnsi="Times New Roman" w:cs="Times New Roman"/>
        </w:rPr>
      </w:pPr>
    </w:p>
    <w:p w:rsidR="00D05AAB" w:rsidRPr="00972239" w:rsidRDefault="00D05AAB" w:rsidP="00D05AAB">
      <w:pPr>
        <w:pStyle w:val="Bezproreda"/>
        <w:numPr>
          <w:ilvl w:val="1"/>
          <w:numId w:val="3"/>
        </w:numPr>
        <w:rPr>
          <w:rFonts w:ascii="Times New Roman" w:hAnsi="Times New Roman" w:cs="Times New Roman"/>
          <w:b/>
          <w:bCs/>
          <w:i/>
          <w:iCs/>
        </w:rPr>
      </w:pPr>
      <w:r w:rsidRPr="00972239">
        <w:rPr>
          <w:rFonts w:ascii="Times New Roman" w:hAnsi="Times New Roman" w:cs="Times New Roman"/>
          <w:b/>
          <w:bCs/>
          <w:i/>
          <w:iCs/>
        </w:rPr>
        <w:t>PROCJENA PRIHODA I PRIMITAKA</w:t>
      </w:r>
    </w:p>
    <w:p w:rsidR="00D05AAB" w:rsidRDefault="00D05AAB" w:rsidP="00D05AAB">
      <w:pPr>
        <w:pStyle w:val="Bezproreda"/>
        <w:rPr>
          <w:rFonts w:ascii="Times New Roman" w:hAnsi="Times New Roman" w:cs="Times New Roman"/>
        </w:rPr>
      </w:pPr>
      <w:r>
        <w:rPr>
          <w:rFonts w:ascii="Times New Roman" w:hAnsi="Times New Roman" w:cs="Times New Roman"/>
        </w:rPr>
        <w:t>Proračunski korisnik obavezan je izraditi procjenu prihoda i primitaka za razdoblje 2022.-2024. po izvorima financiranja. Izvori financiranja predstavljaju skupine prihoda i primitaka iz kojih se podmiruju rashodi i izdaci određene vrste i utvrđene namjene.</w:t>
      </w:r>
    </w:p>
    <w:p w:rsidR="00D05AAB" w:rsidRDefault="00D05AAB" w:rsidP="00D05AAB">
      <w:pPr>
        <w:pStyle w:val="Bezproreda"/>
        <w:rPr>
          <w:rFonts w:ascii="Times New Roman" w:hAnsi="Times New Roman" w:cs="Times New Roman"/>
        </w:rPr>
      </w:pPr>
    </w:p>
    <w:p w:rsidR="00D05AAB" w:rsidRDefault="00D05AAB" w:rsidP="00D05AAB">
      <w:pPr>
        <w:pStyle w:val="Bezproreda"/>
        <w:rPr>
          <w:rFonts w:ascii="Times New Roman" w:hAnsi="Times New Roman" w:cs="Times New Roman"/>
        </w:rPr>
      </w:pPr>
      <w:r>
        <w:rPr>
          <w:rFonts w:ascii="Times New Roman" w:hAnsi="Times New Roman" w:cs="Times New Roman"/>
        </w:rPr>
        <w:t>Osnovni izvori financiranja su:</w:t>
      </w:r>
    </w:p>
    <w:p w:rsidR="00D05AAB" w:rsidRDefault="00D05AAB" w:rsidP="00D05AAB">
      <w:pPr>
        <w:pStyle w:val="Bezproreda"/>
        <w:numPr>
          <w:ilvl w:val="0"/>
          <w:numId w:val="4"/>
        </w:numPr>
        <w:rPr>
          <w:rFonts w:ascii="Times New Roman" w:hAnsi="Times New Roman" w:cs="Times New Roman"/>
        </w:rPr>
      </w:pPr>
      <w:r>
        <w:rPr>
          <w:rFonts w:ascii="Times New Roman" w:hAnsi="Times New Roman" w:cs="Times New Roman"/>
        </w:rPr>
        <w:t>Opći prihodi i primitci</w:t>
      </w:r>
    </w:p>
    <w:p w:rsidR="00D05AAB" w:rsidRDefault="00D05AAB" w:rsidP="00D05AAB">
      <w:pPr>
        <w:pStyle w:val="Bezproreda"/>
        <w:numPr>
          <w:ilvl w:val="0"/>
          <w:numId w:val="4"/>
        </w:numPr>
        <w:rPr>
          <w:rFonts w:ascii="Times New Roman" w:hAnsi="Times New Roman" w:cs="Times New Roman"/>
        </w:rPr>
      </w:pPr>
      <w:r>
        <w:rPr>
          <w:rFonts w:ascii="Times New Roman" w:hAnsi="Times New Roman" w:cs="Times New Roman"/>
        </w:rPr>
        <w:t>Doprinosi</w:t>
      </w:r>
    </w:p>
    <w:p w:rsidR="00D05AAB" w:rsidRDefault="00D05AAB" w:rsidP="00D05AAB">
      <w:pPr>
        <w:pStyle w:val="Bezproreda"/>
        <w:numPr>
          <w:ilvl w:val="0"/>
          <w:numId w:val="4"/>
        </w:numPr>
        <w:rPr>
          <w:rFonts w:ascii="Times New Roman" w:hAnsi="Times New Roman" w:cs="Times New Roman"/>
        </w:rPr>
      </w:pPr>
      <w:r>
        <w:rPr>
          <w:rFonts w:ascii="Times New Roman" w:hAnsi="Times New Roman" w:cs="Times New Roman"/>
        </w:rPr>
        <w:t>Vlastiti prihodi</w:t>
      </w:r>
    </w:p>
    <w:p w:rsidR="00D05AAB" w:rsidRDefault="00D05AAB" w:rsidP="00D05AAB">
      <w:pPr>
        <w:pStyle w:val="Bezproreda"/>
        <w:numPr>
          <w:ilvl w:val="0"/>
          <w:numId w:val="4"/>
        </w:numPr>
        <w:rPr>
          <w:rFonts w:ascii="Times New Roman" w:hAnsi="Times New Roman" w:cs="Times New Roman"/>
        </w:rPr>
      </w:pPr>
      <w:r>
        <w:rPr>
          <w:rFonts w:ascii="Times New Roman" w:hAnsi="Times New Roman" w:cs="Times New Roman"/>
        </w:rPr>
        <w:t>Prihodi za posebne namjene</w:t>
      </w:r>
    </w:p>
    <w:p w:rsidR="00D05AAB" w:rsidRDefault="00D05AAB" w:rsidP="00D05AAB">
      <w:pPr>
        <w:pStyle w:val="Bezproreda"/>
        <w:numPr>
          <w:ilvl w:val="0"/>
          <w:numId w:val="4"/>
        </w:numPr>
        <w:rPr>
          <w:rFonts w:ascii="Times New Roman" w:hAnsi="Times New Roman" w:cs="Times New Roman"/>
        </w:rPr>
      </w:pPr>
      <w:r>
        <w:rPr>
          <w:rFonts w:ascii="Times New Roman" w:hAnsi="Times New Roman" w:cs="Times New Roman"/>
        </w:rPr>
        <w:t>Pomoći</w:t>
      </w:r>
    </w:p>
    <w:p w:rsidR="00D05AAB" w:rsidRDefault="00D05AAB" w:rsidP="00D05AAB">
      <w:pPr>
        <w:pStyle w:val="Bezproreda"/>
        <w:numPr>
          <w:ilvl w:val="0"/>
          <w:numId w:val="4"/>
        </w:numPr>
        <w:rPr>
          <w:rFonts w:ascii="Times New Roman" w:hAnsi="Times New Roman" w:cs="Times New Roman"/>
        </w:rPr>
      </w:pPr>
      <w:r>
        <w:rPr>
          <w:rFonts w:ascii="Times New Roman" w:hAnsi="Times New Roman" w:cs="Times New Roman"/>
        </w:rPr>
        <w:t>Donacije</w:t>
      </w:r>
    </w:p>
    <w:p w:rsidR="00D05AAB" w:rsidRDefault="00D05AAB" w:rsidP="00D05AAB">
      <w:pPr>
        <w:pStyle w:val="Bezproreda"/>
        <w:numPr>
          <w:ilvl w:val="0"/>
          <w:numId w:val="4"/>
        </w:numPr>
        <w:rPr>
          <w:rFonts w:ascii="Times New Roman" w:hAnsi="Times New Roman" w:cs="Times New Roman"/>
        </w:rPr>
      </w:pPr>
      <w:r>
        <w:rPr>
          <w:rFonts w:ascii="Times New Roman" w:hAnsi="Times New Roman" w:cs="Times New Roman"/>
        </w:rPr>
        <w:t>Prihodi od prodaje ili zamjene nefinancijske imovine i naknade s naslova osiguranja</w:t>
      </w:r>
    </w:p>
    <w:p w:rsidR="00D05AAB" w:rsidRDefault="00D05AAB" w:rsidP="00D05AAB">
      <w:pPr>
        <w:pStyle w:val="Bezproreda"/>
        <w:numPr>
          <w:ilvl w:val="0"/>
          <w:numId w:val="4"/>
        </w:numPr>
        <w:rPr>
          <w:rFonts w:ascii="Times New Roman" w:hAnsi="Times New Roman" w:cs="Times New Roman"/>
        </w:rPr>
      </w:pPr>
      <w:r>
        <w:rPr>
          <w:rFonts w:ascii="Times New Roman" w:hAnsi="Times New Roman" w:cs="Times New Roman"/>
        </w:rPr>
        <w:t>Namjenski primitci.</w:t>
      </w:r>
    </w:p>
    <w:p w:rsidR="00D05AAB" w:rsidRDefault="00D05AAB" w:rsidP="00D05AAB">
      <w:pPr>
        <w:pStyle w:val="Bezproreda"/>
        <w:rPr>
          <w:rFonts w:ascii="Times New Roman" w:hAnsi="Times New Roman" w:cs="Times New Roman"/>
        </w:rPr>
      </w:pPr>
      <w:r>
        <w:rPr>
          <w:rFonts w:ascii="Times New Roman" w:hAnsi="Times New Roman" w:cs="Times New Roman"/>
        </w:rPr>
        <w:t>1. Izvor financiranja opći prihodi i primitci uključuje prihode od poreza, prihode od financijske imovine, prihode od nefinancijske imovine, prihode od administrativnih (upravnih) pristojbi i prihode od kazni.</w:t>
      </w:r>
    </w:p>
    <w:p w:rsidR="00D05AAB" w:rsidRDefault="00D05AAB" w:rsidP="00D05AAB">
      <w:pPr>
        <w:pStyle w:val="Bezproreda"/>
        <w:rPr>
          <w:rFonts w:ascii="Times New Roman" w:hAnsi="Times New Roman" w:cs="Times New Roman"/>
        </w:rPr>
      </w:pPr>
      <w:r>
        <w:rPr>
          <w:rFonts w:ascii="Times New Roman" w:hAnsi="Times New Roman" w:cs="Times New Roman"/>
        </w:rPr>
        <w:t>Izvor financiranja – opći prihodi i primici proračunskog korisnika uključuje prihode koje proračunski korisnik ostvari iz nadležnog proračuna ( koje planira u okviru podskupine 671 Prihodi iz proračuna za financiranje redovne djelatnosti korisnika).</w:t>
      </w:r>
    </w:p>
    <w:p w:rsidR="00D05AAB" w:rsidRDefault="00D05AAB" w:rsidP="00D05AAB">
      <w:pPr>
        <w:pStyle w:val="Bezproreda"/>
        <w:rPr>
          <w:rFonts w:ascii="Times New Roman" w:hAnsi="Times New Roman" w:cs="Times New Roman"/>
        </w:rPr>
      </w:pPr>
      <w:r>
        <w:rPr>
          <w:rFonts w:ascii="Times New Roman" w:hAnsi="Times New Roman" w:cs="Times New Roman"/>
        </w:rPr>
        <w:t>2.Izvor financiranja doprinosi uključuje prihode od uplaćenih doprinosa za zdravstveno osiguranje, mirovinsko osiguranje  i odnosi se uglavnom na državni proračun.</w:t>
      </w:r>
    </w:p>
    <w:p w:rsidR="00D05AAB" w:rsidRDefault="00D05AAB" w:rsidP="00D05AAB">
      <w:pPr>
        <w:pStyle w:val="Bezproreda"/>
        <w:rPr>
          <w:rFonts w:ascii="Times New Roman" w:hAnsi="Times New Roman" w:cs="Times New Roman"/>
        </w:rPr>
      </w:pPr>
      <w:r>
        <w:rPr>
          <w:rFonts w:ascii="Times New Roman" w:hAnsi="Times New Roman" w:cs="Times New Roman"/>
        </w:rPr>
        <w:t>3.Izvor prihoda vlastiti prihodi čine prihodi koje korisnik ostvari obavljanjem poslova na tržištu i u tržišnim uvjetima – proračunski korisnik prihode od sufinanciranja roditelja evidentira pod ovim iz</w:t>
      </w:r>
      <w:r w:rsidR="00D33032">
        <w:rPr>
          <w:rFonts w:ascii="Times New Roman" w:hAnsi="Times New Roman" w:cs="Times New Roman"/>
        </w:rPr>
        <w:t>v</w:t>
      </w:r>
      <w:r>
        <w:rPr>
          <w:rFonts w:ascii="Times New Roman" w:hAnsi="Times New Roman" w:cs="Times New Roman"/>
        </w:rPr>
        <w:t>orom.</w:t>
      </w:r>
    </w:p>
    <w:p w:rsidR="00D05AAB" w:rsidRDefault="00D05AAB" w:rsidP="00D05AAB">
      <w:pPr>
        <w:pStyle w:val="Bezproreda"/>
        <w:rPr>
          <w:rFonts w:ascii="Times New Roman" w:hAnsi="Times New Roman" w:cs="Times New Roman"/>
        </w:rPr>
      </w:pPr>
      <w:r>
        <w:rPr>
          <w:rFonts w:ascii="Times New Roman" w:hAnsi="Times New Roman" w:cs="Times New Roman"/>
        </w:rPr>
        <w:t>4.Izvor financiranja prihodi za posebne namjene čine prihodi čije su korištenje i namjena utvrđeni posebnim zakon</w:t>
      </w:r>
      <w:r w:rsidR="00D33032">
        <w:rPr>
          <w:rFonts w:ascii="Times New Roman" w:hAnsi="Times New Roman" w:cs="Times New Roman"/>
        </w:rPr>
        <w:t>ima i propisima. Primjer : komunalna naknada, vodni doprinos i ostalo.</w:t>
      </w:r>
    </w:p>
    <w:p w:rsidR="00972239" w:rsidRDefault="00972239" w:rsidP="00D05AAB">
      <w:pPr>
        <w:pStyle w:val="Bezproreda"/>
        <w:rPr>
          <w:rFonts w:ascii="Times New Roman" w:hAnsi="Times New Roman" w:cs="Times New Roman"/>
        </w:rPr>
      </w:pPr>
    </w:p>
    <w:p w:rsidR="00D33032" w:rsidRDefault="00D33032" w:rsidP="00D05AAB">
      <w:pPr>
        <w:pStyle w:val="Bezproreda"/>
        <w:rPr>
          <w:rFonts w:ascii="Times New Roman" w:hAnsi="Times New Roman" w:cs="Times New Roman"/>
        </w:rPr>
      </w:pPr>
      <w:r>
        <w:rPr>
          <w:rFonts w:ascii="Times New Roman" w:hAnsi="Times New Roman" w:cs="Times New Roman"/>
        </w:rPr>
        <w:t>5. Izvor financiranja pomoći čine prihodi ostvareni od inozemnih vlada, od međunarodnih organizacija te institucija i tijela EU, prihodi iz drugih proračuna, od izvanproračunskih korisnika, iz državnog proračuna temeljem prijenosa EU sredstava. Prihodi koje proračunski korisnik ostvari od drugih proračuna koji im nije nadležan planiraju se na podskupini računa 636 – Pomoć proračunskim korisnika iz proračuna koji im nije nadležan.</w:t>
      </w:r>
    </w:p>
    <w:p w:rsidR="00D33032" w:rsidRDefault="00D33032" w:rsidP="00D05AAB">
      <w:pPr>
        <w:pStyle w:val="Bezproreda"/>
        <w:rPr>
          <w:rFonts w:ascii="Times New Roman" w:hAnsi="Times New Roman" w:cs="Times New Roman"/>
        </w:rPr>
      </w:pPr>
      <w:r>
        <w:rPr>
          <w:rFonts w:ascii="Times New Roman" w:hAnsi="Times New Roman" w:cs="Times New Roman"/>
        </w:rPr>
        <w:t>6. Izvor financiranja donacije čine prihodi ostvareni od fizičkih osoba, neprofitnih organizacija, trgovačkih društava i ostalih subjekata izvan općeg proračuna.</w:t>
      </w:r>
    </w:p>
    <w:p w:rsidR="00D33032" w:rsidRDefault="00D33032" w:rsidP="00D05AAB">
      <w:pPr>
        <w:pStyle w:val="Bezproreda"/>
        <w:rPr>
          <w:rFonts w:ascii="Times New Roman" w:hAnsi="Times New Roman" w:cs="Times New Roman"/>
        </w:rPr>
      </w:pPr>
      <w:r>
        <w:rPr>
          <w:rFonts w:ascii="Times New Roman" w:hAnsi="Times New Roman" w:cs="Times New Roman"/>
        </w:rPr>
        <w:t>7. Izvor financiranja prihodi od prodaje ili zamjene nefinancijske imovine i naknade s naslova osiguranja čine prihodi ostvareni prodajom ili zamjenom nefinancijske imovine i od naknade štete s osnova osiguranja, a mogu se koristit za kapitalne rashode, za ulaganja u dionice i udjele trgovačkih društava te za otplate glavnice temeljem dugoročnog zaduživanja..</w:t>
      </w:r>
    </w:p>
    <w:p w:rsidR="00D33032" w:rsidRDefault="00D33032" w:rsidP="00D05AAB">
      <w:pPr>
        <w:pStyle w:val="Bezproreda"/>
        <w:rPr>
          <w:rFonts w:ascii="Times New Roman" w:hAnsi="Times New Roman" w:cs="Times New Roman"/>
        </w:rPr>
      </w:pPr>
      <w:r>
        <w:rPr>
          <w:rFonts w:ascii="Times New Roman" w:hAnsi="Times New Roman" w:cs="Times New Roman"/>
        </w:rPr>
        <w:t>8. Izvor financiranja namjenski primici čine primici od financijske imovine i zaduživanja.</w:t>
      </w:r>
    </w:p>
    <w:p w:rsidR="00972239" w:rsidRDefault="00972239" w:rsidP="00D05AAB">
      <w:pPr>
        <w:pStyle w:val="Bezproreda"/>
        <w:rPr>
          <w:rFonts w:ascii="Times New Roman" w:hAnsi="Times New Roman" w:cs="Times New Roman"/>
        </w:rPr>
      </w:pPr>
    </w:p>
    <w:p w:rsidR="00D33032" w:rsidRPr="00972239" w:rsidRDefault="00972239" w:rsidP="00972239">
      <w:pPr>
        <w:pStyle w:val="Bezproreda"/>
        <w:numPr>
          <w:ilvl w:val="1"/>
          <w:numId w:val="3"/>
        </w:numPr>
        <w:rPr>
          <w:rFonts w:ascii="Times New Roman" w:hAnsi="Times New Roman" w:cs="Times New Roman"/>
          <w:b/>
          <w:bCs/>
          <w:i/>
          <w:iCs/>
        </w:rPr>
      </w:pPr>
      <w:r w:rsidRPr="00972239">
        <w:rPr>
          <w:rFonts w:ascii="Times New Roman" w:hAnsi="Times New Roman" w:cs="Times New Roman"/>
          <w:b/>
          <w:bCs/>
          <w:i/>
          <w:iCs/>
        </w:rPr>
        <w:t>PLANIRANJE VIŠKOVA/MANJKOVA IZ PRETHODNIH GODINA</w:t>
      </w:r>
    </w:p>
    <w:p w:rsidR="00972239" w:rsidRDefault="00972239" w:rsidP="00972239">
      <w:pPr>
        <w:pStyle w:val="Bezproreda"/>
        <w:rPr>
          <w:rFonts w:ascii="Times New Roman" w:hAnsi="Times New Roman" w:cs="Times New Roman"/>
        </w:rPr>
      </w:pPr>
      <w:r>
        <w:rPr>
          <w:rFonts w:ascii="Times New Roman" w:hAnsi="Times New Roman" w:cs="Times New Roman"/>
        </w:rPr>
        <w:t>Financijski plan proračunskog korisnika treba biti uravnotežen. Izuzev prihoda i rashoda u financijski plan je potrebno uključiti i predviđeni manjak, odnosno višak prihoda.</w:t>
      </w:r>
    </w:p>
    <w:p w:rsidR="00972239" w:rsidRDefault="00972239" w:rsidP="00972239">
      <w:pPr>
        <w:pStyle w:val="Bezproreda"/>
        <w:rPr>
          <w:rFonts w:ascii="Times New Roman" w:hAnsi="Times New Roman" w:cs="Times New Roman"/>
        </w:rPr>
      </w:pPr>
      <w:r>
        <w:rPr>
          <w:rFonts w:ascii="Times New Roman" w:hAnsi="Times New Roman" w:cs="Times New Roman"/>
        </w:rPr>
        <w:t>Ako proračunski korisnik posluje sa manjkom treba kroz financijski plan pokazati korekcije manjka na način da ih pokrije ili na teret novih izvora financiranja, odnosno rasta prihoda ili smanjenjem ukupne rashodovne strane u visini nastalih manjkova.</w:t>
      </w:r>
    </w:p>
    <w:p w:rsidR="00972239" w:rsidRDefault="00972239" w:rsidP="00972239">
      <w:pPr>
        <w:pStyle w:val="Bezproreda"/>
        <w:rPr>
          <w:rFonts w:ascii="Times New Roman" w:hAnsi="Times New Roman" w:cs="Times New Roman"/>
        </w:rPr>
      </w:pPr>
      <w:r>
        <w:rPr>
          <w:rFonts w:ascii="Times New Roman" w:hAnsi="Times New Roman" w:cs="Times New Roman"/>
        </w:rPr>
        <w:t>Višak i manjak se ne iskazuje u financijskom planu na računima razreda 6/7 i 3/4 već se u sam financijski plan uključuje bilančna pozicija 922 Višak/manjak prihoda. Činjenica je da je konačni rezultat poslovanja poznat tek u siječnju godine za koju se donosi financijski plan pa se zbog toga prilikom planiranja u obzir uzima planirani rezultat poslovanja, odnosno njegova procjena.</w:t>
      </w:r>
    </w:p>
    <w:p w:rsidR="00972239" w:rsidRDefault="00972239" w:rsidP="00972239">
      <w:pPr>
        <w:pStyle w:val="Bezproreda"/>
        <w:rPr>
          <w:rFonts w:ascii="Times New Roman" w:hAnsi="Times New Roman" w:cs="Times New Roman"/>
        </w:rPr>
      </w:pPr>
    </w:p>
    <w:p w:rsidR="00972239" w:rsidRPr="00DD0F70" w:rsidRDefault="00972239" w:rsidP="00972239">
      <w:pPr>
        <w:pStyle w:val="Bezproreda"/>
        <w:numPr>
          <w:ilvl w:val="1"/>
          <w:numId w:val="3"/>
        </w:numPr>
        <w:rPr>
          <w:rFonts w:ascii="Times New Roman" w:hAnsi="Times New Roman" w:cs="Times New Roman"/>
          <w:b/>
          <w:bCs/>
          <w:i/>
          <w:iCs/>
        </w:rPr>
      </w:pPr>
      <w:r w:rsidRPr="00DD0F70">
        <w:rPr>
          <w:rFonts w:ascii="Times New Roman" w:hAnsi="Times New Roman" w:cs="Times New Roman"/>
          <w:b/>
          <w:bCs/>
          <w:i/>
          <w:iCs/>
        </w:rPr>
        <w:t>OBRAZLOŽENJE FINANCIJSKOG PLANA</w:t>
      </w:r>
    </w:p>
    <w:p w:rsidR="00972239" w:rsidRDefault="00972239" w:rsidP="00972239">
      <w:pPr>
        <w:pStyle w:val="Bezproreda"/>
        <w:rPr>
          <w:rFonts w:ascii="Times New Roman" w:hAnsi="Times New Roman" w:cs="Times New Roman"/>
        </w:rPr>
      </w:pPr>
      <w:r>
        <w:rPr>
          <w:rFonts w:ascii="Times New Roman" w:hAnsi="Times New Roman" w:cs="Times New Roman"/>
        </w:rPr>
        <w:t>Obrazloženje financijskog plana proračunskog korisnika je podloga za analiziranje rezultata i oblikovanje budućih ciljeva, usmjeravanje djelovanja proračunskog korisnika te osnova za utvrđivanje odgovornosti.</w:t>
      </w:r>
    </w:p>
    <w:p w:rsidR="00972239" w:rsidRDefault="00972239" w:rsidP="00972239">
      <w:pPr>
        <w:pStyle w:val="Bezproreda"/>
        <w:rPr>
          <w:rFonts w:ascii="Times New Roman" w:hAnsi="Times New Roman" w:cs="Times New Roman"/>
        </w:rPr>
      </w:pPr>
      <w:r>
        <w:rPr>
          <w:rFonts w:ascii="Times New Roman" w:hAnsi="Times New Roman" w:cs="Times New Roman"/>
        </w:rPr>
        <w:t>Obrazloženje financijskog plana, u skladu sa člankom 3. Zakona o proračunu, treba sadržavati:</w:t>
      </w:r>
    </w:p>
    <w:p w:rsidR="00972239" w:rsidRDefault="00972239" w:rsidP="00972239">
      <w:pPr>
        <w:pStyle w:val="Bezproreda"/>
        <w:numPr>
          <w:ilvl w:val="0"/>
          <w:numId w:val="2"/>
        </w:numPr>
        <w:rPr>
          <w:rFonts w:ascii="Times New Roman" w:hAnsi="Times New Roman" w:cs="Times New Roman"/>
        </w:rPr>
      </w:pPr>
      <w:r>
        <w:rPr>
          <w:rFonts w:ascii="Times New Roman" w:hAnsi="Times New Roman" w:cs="Times New Roman"/>
        </w:rPr>
        <w:t>Sažetak djelokruga rada proračunskog korisnika</w:t>
      </w:r>
    </w:p>
    <w:p w:rsidR="00972239" w:rsidRDefault="00972239" w:rsidP="00972239">
      <w:pPr>
        <w:pStyle w:val="Bezproreda"/>
        <w:numPr>
          <w:ilvl w:val="0"/>
          <w:numId w:val="2"/>
        </w:numPr>
        <w:rPr>
          <w:rFonts w:ascii="Times New Roman" w:hAnsi="Times New Roman" w:cs="Times New Roman"/>
        </w:rPr>
      </w:pPr>
      <w:r>
        <w:rPr>
          <w:rFonts w:ascii="Times New Roman" w:hAnsi="Times New Roman" w:cs="Times New Roman"/>
        </w:rPr>
        <w:t>Obrazloženje programa</w:t>
      </w:r>
    </w:p>
    <w:p w:rsidR="00972239" w:rsidRDefault="00972239" w:rsidP="00972239">
      <w:pPr>
        <w:pStyle w:val="Bezproreda"/>
        <w:numPr>
          <w:ilvl w:val="0"/>
          <w:numId w:val="2"/>
        </w:numPr>
        <w:rPr>
          <w:rFonts w:ascii="Times New Roman" w:hAnsi="Times New Roman" w:cs="Times New Roman"/>
        </w:rPr>
      </w:pPr>
      <w:r>
        <w:rPr>
          <w:rFonts w:ascii="Times New Roman" w:hAnsi="Times New Roman" w:cs="Times New Roman"/>
        </w:rPr>
        <w:t>Zakonske i druge podloge na kojima se zasnivaju programa</w:t>
      </w:r>
    </w:p>
    <w:p w:rsidR="00DD0F70" w:rsidRDefault="00972239" w:rsidP="00DD0F70">
      <w:pPr>
        <w:pStyle w:val="Bezproreda"/>
        <w:numPr>
          <w:ilvl w:val="0"/>
          <w:numId w:val="2"/>
        </w:numPr>
        <w:rPr>
          <w:rFonts w:ascii="Times New Roman" w:hAnsi="Times New Roman" w:cs="Times New Roman"/>
        </w:rPr>
      </w:pPr>
      <w:r>
        <w:rPr>
          <w:rFonts w:ascii="Times New Roman" w:hAnsi="Times New Roman" w:cs="Times New Roman"/>
        </w:rPr>
        <w:t>Ishodište i pokazatelje na kojima se zasniva</w:t>
      </w:r>
      <w:r w:rsidR="00DD0F70">
        <w:rPr>
          <w:rFonts w:ascii="Times New Roman" w:hAnsi="Times New Roman" w:cs="Times New Roman"/>
        </w:rPr>
        <w:t>ju izračuni i ocjene potrebnih sredstava za provođenje programa,</w:t>
      </w:r>
    </w:p>
    <w:p w:rsidR="00DD0F70" w:rsidRDefault="00DD0F70" w:rsidP="00DD0F70">
      <w:pPr>
        <w:pStyle w:val="Bezproreda"/>
        <w:numPr>
          <w:ilvl w:val="0"/>
          <w:numId w:val="2"/>
        </w:numPr>
        <w:rPr>
          <w:rFonts w:ascii="Times New Roman" w:hAnsi="Times New Roman" w:cs="Times New Roman"/>
        </w:rPr>
      </w:pPr>
      <w:r>
        <w:rPr>
          <w:rFonts w:ascii="Times New Roman" w:hAnsi="Times New Roman" w:cs="Times New Roman"/>
        </w:rPr>
        <w:t>Izvještaj o postignutim ciljevima i rezultatima temeljenim na pokazateljima uspješnosti iz nadležnosti proračunskog korisnika u prethodnoj godini</w:t>
      </w:r>
    </w:p>
    <w:p w:rsidR="00DD0F70" w:rsidRDefault="00DD0F70" w:rsidP="00DD0F70">
      <w:pPr>
        <w:pStyle w:val="Bezproreda"/>
        <w:numPr>
          <w:ilvl w:val="0"/>
          <w:numId w:val="2"/>
        </w:numPr>
        <w:rPr>
          <w:rFonts w:ascii="Times New Roman" w:hAnsi="Times New Roman" w:cs="Times New Roman"/>
        </w:rPr>
      </w:pPr>
      <w:r>
        <w:rPr>
          <w:rFonts w:ascii="Times New Roman" w:hAnsi="Times New Roman" w:cs="Times New Roman"/>
        </w:rPr>
        <w:t xml:space="preserve">Ostala obrazloženja </w:t>
      </w:r>
    </w:p>
    <w:p w:rsidR="00DD0F70" w:rsidRDefault="00DD0F70" w:rsidP="00DD0F70">
      <w:pPr>
        <w:pStyle w:val="Bezproreda"/>
        <w:rPr>
          <w:rFonts w:ascii="Times New Roman" w:hAnsi="Times New Roman" w:cs="Times New Roman"/>
        </w:rPr>
      </w:pPr>
    </w:p>
    <w:p w:rsidR="00DD0F70" w:rsidRPr="006E1A9C" w:rsidRDefault="00DD0F70" w:rsidP="00DD0F70">
      <w:pPr>
        <w:pStyle w:val="Bezproreda"/>
        <w:numPr>
          <w:ilvl w:val="1"/>
          <w:numId w:val="3"/>
        </w:numPr>
        <w:rPr>
          <w:rFonts w:ascii="Times New Roman" w:hAnsi="Times New Roman" w:cs="Times New Roman"/>
          <w:b/>
          <w:bCs/>
          <w:i/>
          <w:iCs/>
        </w:rPr>
      </w:pPr>
      <w:r w:rsidRPr="006E1A9C">
        <w:rPr>
          <w:rFonts w:ascii="Times New Roman" w:hAnsi="Times New Roman" w:cs="Times New Roman"/>
          <w:b/>
          <w:bCs/>
          <w:i/>
          <w:iCs/>
        </w:rPr>
        <w:t>POSTUPAK IZMJENE I DOPUNE FINANCIJSKOG PLANA PRORAČUNSKOG KORISNIKA</w:t>
      </w:r>
    </w:p>
    <w:p w:rsidR="00DD0F70" w:rsidRDefault="00DD0F70" w:rsidP="00DD0F70">
      <w:pPr>
        <w:pStyle w:val="Bezproreda"/>
        <w:rPr>
          <w:rFonts w:ascii="Times New Roman" w:hAnsi="Times New Roman" w:cs="Times New Roman"/>
        </w:rPr>
      </w:pPr>
      <w:r>
        <w:rPr>
          <w:rFonts w:ascii="Times New Roman" w:hAnsi="Times New Roman" w:cs="Times New Roman"/>
        </w:rPr>
        <w:t>Obzirom da se u posebnom dijelu proračuna Općine Marina nalazi i financijski plan proračunskog korisnika dječjeg vrtića Marina razvidna je obaveza uključivanja svih prihoda i primitaka, rashoda i izdataka u sam Proračun Općine Marina</w:t>
      </w:r>
      <w:r w:rsidR="0018483A">
        <w:rPr>
          <w:rFonts w:ascii="Times New Roman" w:hAnsi="Times New Roman" w:cs="Times New Roman"/>
        </w:rPr>
        <w:t xml:space="preserve">, sukladno ekonomskoj, programskoj, funkcijskoj, organizacijskoj, lokacijskoj klasifikaciji te izvorima financiranja. </w:t>
      </w:r>
    </w:p>
    <w:p w:rsidR="0018483A" w:rsidRDefault="0018483A" w:rsidP="00DD0F70">
      <w:pPr>
        <w:pStyle w:val="Bezproreda"/>
        <w:rPr>
          <w:rFonts w:ascii="Times New Roman" w:hAnsi="Times New Roman" w:cs="Times New Roman"/>
        </w:rPr>
      </w:pPr>
      <w:r>
        <w:rPr>
          <w:rFonts w:ascii="Times New Roman" w:hAnsi="Times New Roman" w:cs="Times New Roman"/>
        </w:rPr>
        <w:t xml:space="preserve">Odlukom o izvršavanju proračuna Općine Marina određeno je izuzeće od obveze uplate vlastitih prihoda proračunskog korisnika u proračun. </w:t>
      </w:r>
    </w:p>
    <w:p w:rsidR="0018483A" w:rsidRDefault="0018483A" w:rsidP="00DD0F70">
      <w:pPr>
        <w:pStyle w:val="Bezproreda"/>
        <w:rPr>
          <w:rFonts w:ascii="Times New Roman" w:hAnsi="Times New Roman" w:cs="Times New Roman"/>
        </w:rPr>
      </w:pPr>
      <w:r>
        <w:rPr>
          <w:rFonts w:ascii="Times New Roman" w:hAnsi="Times New Roman" w:cs="Times New Roman"/>
        </w:rPr>
        <w:t>Izuzeće od uplate vlastitih prihoda proračunskog korisnika ne znači izuzeće od planiranja. Sukladno navedenom ostvarenje vlastitih prihoda te trošenje rashoda financiranih iz ovih izvora, a izuzetih od uplate u proračun moraju se izvještajno pratiti na način utvrđen Uputom o načinu komuniciranja između Općine Marina i proračunskog korisnika (od 29.03.2017)</w:t>
      </w:r>
    </w:p>
    <w:p w:rsidR="0018483A" w:rsidRDefault="0018483A" w:rsidP="00DD0F70">
      <w:pPr>
        <w:pStyle w:val="Bezproreda"/>
        <w:rPr>
          <w:rFonts w:ascii="Times New Roman" w:hAnsi="Times New Roman" w:cs="Times New Roman"/>
        </w:rPr>
      </w:pPr>
      <w:r>
        <w:rPr>
          <w:rFonts w:ascii="Times New Roman" w:hAnsi="Times New Roman" w:cs="Times New Roman"/>
        </w:rPr>
        <w:t>Kada je riječ o izmjenama financijskog plana proračunskog korisnika – dječjeg vrtića Marina koje su vezane uz financiranje iz izvora opći prihodi i primitci, odnosno iz nadležnog proračuna podrazumijeva se da se izmjenama ne može pristupiti bez suglasnosti Općine Marina.</w:t>
      </w:r>
    </w:p>
    <w:p w:rsidR="0018483A" w:rsidRDefault="0018483A" w:rsidP="00DD0F70">
      <w:pPr>
        <w:pStyle w:val="Bezproreda"/>
        <w:rPr>
          <w:rFonts w:ascii="Times New Roman" w:hAnsi="Times New Roman" w:cs="Times New Roman"/>
        </w:rPr>
      </w:pPr>
      <w:r>
        <w:rPr>
          <w:rFonts w:ascii="Times New Roman" w:hAnsi="Times New Roman" w:cs="Times New Roman"/>
        </w:rPr>
        <w:lastRenderedPageBreak/>
        <w:t>Međutim, izmjene financijskog plana vezane za vlastite prihode proračunski korisnik može napraviti sam i o tome obavijestiti Općinsko vijeće.</w:t>
      </w:r>
    </w:p>
    <w:p w:rsidR="006E1A9C" w:rsidRPr="00AE0459" w:rsidRDefault="006E1A9C" w:rsidP="006E1A9C">
      <w:pPr>
        <w:pStyle w:val="Bezproreda"/>
        <w:numPr>
          <w:ilvl w:val="1"/>
          <w:numId w:val="3"/>
        </w:numPr>
        <w:rPr>
          <w:rFonts w:ascii="Times New Roman" w:hAnsi="Times New Roman" w:cs="Times New Roman"/>
          <w:b/>
          <w:bCs/>
          <w:i/>
          <w:iCs/>
        </w:rPr>
      </w:pPr>
      <w:r w:rsidRPr="00AE0459">
        <w:rPr>
          <w:rFonts w:ascii="Times New Roman" w:hAnsi="Times New Roman" w:cs="Times New Roman"/>
          <w:b/>
          <w:bCs/>
          <w:i/>
          <w:iCs/>
        </w:rPr>
        <w:t xml:space="preserve">VISINA FINANCIJSKOG PLANA </w:t>
      </w:r>
    </w:p>
    <w:p w:rsidR="00972239" w:rsidRDefault="00D82F55" w:rsidP="00972239">
      <w:pPr>
        <w:pStyle w:val="Bezproreda"/>
        <w:rPr>
          <w:rFonts w:ascii="Times New Roman" w:hAnsi="Times New Roman" w:cs="Times New Roman"/>
        </w:rPr>
      </w:pPr>
      <w:r>
        <w:rPr>
          <w:rFonts w:ascii="Times New Roman" w:hAnsi="Times New Roman" w:cs="Times New Roman"/>
        </w:rPr>
        <w:t>Sukladno članku 27. Stavak 3., točci 4. Zakona o proračunu visina financijskog plana proračunskog korisnika sadrži visinu financijskog plana za prethodnu godinu i tekuću proračunsku godinu te prijedlog visine financijskog plana za slijedeću proračunsku godinu (2022.) te slijedeće dvije godine (2023.-2024.) raspoređene na:</w:t>
      </w:r>
    </w:p>
    <w:p w:rsidR="00D82F55" w:rsidRDefault="00D82F55" w:rsidP="00972239">
      <w:pPr>
        <w:pStyle w:val="Bezproreda"/>
        <w:rPr>
          <w:rFonts w:ascii="Times New Roman" w:hAnsi="Times New Roman" w:cs="Times New Roman"/>
        </w:rPr>
      </w:pPr>
      <w:r>
        <w:rPr>
          <w:rFonts w:ascii="Times New Roman" w:hAnsi="Times New Roman" w:cs="Times New Roman"/>
        </w:rPr>
        <w:t>Limit 1 – visina sredstava potrebnih za prov</w:t>
      </w:r>
      <w:r w:rsidR="00AE0459">
        <w:rPr>
          <w:rFonts w:ascii="Times New Roman" w:hAnsi="Times New Roman" w:cs="Times New Roman"/>
        </w:rPr>
        <w:t xml:space="preserve">edbu postojećih programa, odnosno aktivnosti koje proizlaze iz istih , i </w:t>
      </w:r>
    </w:p>
    <w:p w:rsidR="00AE0459" w:rsidRDefault="00AE0459" w:rsidP="00972239">
      <w:pPr>
        <w:pStyle w:val="Bezproreda"/>
        <w:rPr>
          <w:rFonts w:ascii="Times New Roman" w:hAnsi="Times New Roman" w:cs="Times New Roman"/>
        </w:rPr>
      </w:pPr>
      <w:r>
        <w:rPr>
          <w:rFonts w:ascii="Times New Roman" w:hAnsi="Times New Roman" w:cs="Times New Roman"/>
        </w:rPr>
        <w:t>Limit 2 – visina sredstava potrebnih za uvođenje ili provedbu ili promjenu postojećih programa odnosno aktivnosti.</w:t>
      </w:r>
    </w:p>
    <w:p w:rsidR="00D82F55" w:rsidRDefault="00D82F55" w:rsidP="00972239">
      <w:pPr>
        <w:pStyle w:val="Bezproreda"/>
        <w:rPr>
          <w:rFonts w:ascii="Times New Roman" w:hAnsi="Times New Roman" w:cs="Times New Roman"/>
        </w:rPr>
      </w:pPr>
    </w:p>
    <w:p w:rsidR="00D82F55" w:rsidRDefault="00D82F55" w:rsidP="00972239">
      <w:pPr>
        <w:pStyle w:val="Bezproreda"/>
        <w:rPr>
          <w:rFonts w:ascii="Times New Roman" w:hAnsi="Times New Roman" w:cs="Times New Roman"/>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1"/>
        <w:gridCol w:w="1225"/>
        <w:gridCol w:w="1014"/>
        <w:gridCol w:w="974"/>
        <w:gridCol w:w="1067"/>
        <w:gridCol w:w="1092"/>
        <w:gridCol w:w="8"/>
        <w:gridCol w:w="1312"/>
        <w:gridCol w:w="1001"/>
      </w:tblGrid>
      <w:tr w:rsidR="00292CBC" w:rsidTr="00292CBC">
        <w:tblPrEx>
          <w:tblCellMar>
            <w:top w:w="0" w:type="dxa"/>
            <w:bottom w:w="0" w:type="dxa"/>
          </w:tblCellMar>
        </w:tblPrEx>
        <w:trPr>
          <w:trHeight w:val="225"/>
        </w:trPr>
        <w:tc>
          <w:tcPr>
            <w:tcW w:w="1414" w:type="dxa"/>
          </w:tcPr>
          <w:p w:rsidR="00292CBC" w:rsidRDefault="00D82F55" w:rsidP="00292CBC">
            <w:pPr>
              <w:pStyle w:val="Bezproreda"/>
              <w:ind w:left="37"/>
              <w:rPr>
                <w:rFonts w:ascii="Times New Roman" w:hAnsi="Times New Roman" w:cs="Times New Roman"/>
              </w:rPr>
            </w:pPr>
            <w:r>
              <w:rPr>
                <w:rFonts w:ascii="Times New Roman" w:hAnsi="Times New Roman" w:cs="Times New Roman"/>
              </w:rPr>
              <w:t>2020.</w:t>
            </w:r>
          </w:p>
        </w:tc>
        <w:tc>
          <w:tcPr>
            <w:tcW w:w="1225" w:type="dxa"/>
          </w:tcPr>
          <w:p w:rsidR="00292CBC" w:rsidRDefault="00292CBC" w:rsidP="00292CBC">
            <w:pPr>
              <w:pStyle w:val="Bezproreda"/>
              <w:ind w:left="154"/>
              <w:rPr>
                <w:rFonts w:ascii="Times New Roman" w:hAnsi="Times New Roman" w:cs="Times New Roman"/>
              </w:rPr>
            </w:pPr>
            <w:r>
              <w:rPr>
                <w:rFonts w:ascii="Times New Roman" w:hAnsi="Times New Roman" w:cs="Times New Roman"/>
              </w:rPr>
              <w:t>2021.</w:t>
            </w:r>
          </w:p>
        </w:tc>
        <w:tc>
          <w:tcPr>
            <w:tcW w:w="1983" w:type="dxa"/>
            <w:gridSpan w:val="2"/>
          </w:tcPr>
          <w:p w:rsidR="00292CBC" w:rsidRDefault="00292CBC" w:rsidP="00292CBC">
            <w:pPr>
              <w:pStyle w:val="Bezproreda"/>
              <w:ind w:left="106"/>
              <w:rPr>
                <w:rFonts w:ascii="Times New Roman" w:hAnsi="Times New Roman" w:cs="Times New Roman"/>
              </w:rPr>
            </w:pPr>
            <w:r>
              <w:rPr>
                <w:rFonts w:ascii="Times New Roman" w:hAnsi="Times New Roman" w:cs="Times New Roman"/>
              </w:rPr>
              <w:t>2022.</w:t>
            </w:r>
          </w:p>
        </w:tc>
        <w:tc>
          <w:tcPr>
            <w:tcW w:w="2160" w:type="dxa"/>
            <w:gridSpan w:val="2"/>
          </w:tcPr>
          <w:p w:rsidR="00292CBC" w:rsidRDefault="00292CBC" w:rsidP="00292CBC">
            <w:pPr>
              <w:pStyle w:val="Bezproreda"/>
              <w:ind w:left="313"/>
              <w:rPr>
                <w:rFonts w:ascii="Times New Roman" w:hAnsi="Times New Roman" w:cs="Times New Roman"/>
              </w:rPr>
            </w:pPr>
            <w:r>
              <w:rPr>
                <w:rFonts w:ascii="Times New Roman" w:hAnsi="Times New Roman" w:cs="Times New Roman"/>
              </w:rPr>
              <w:t>2023.</w:t>
            </w:r>
          </w:p>
        </w:tc>
        <w:tc>
          <w:tcPr>
            <w:tcW w:w="2322" w:type="dxa"/>
            <w:gridSpan w:val="3"/>
          </w:tcPr>
          <w:p w:rsidR="00292CBC" w:rsidRDefault="00292CBC" w:rsidP="00292CBC">
            <w:pPr>
              <w:pStyle w:val="Bezproreda"/>
              <w:ind w:left="1495"/>
              <w:rPr>
                <w:rFonts w:ascii="Times New Roman" w:hAnsi="Times New Roman" w:cs="Times New Roman"/>
              </w:rPr>
            </w:pPr>
            <w:r>
              <w:rPr>
                <w:rFonts w:ascii="Times New Roman" w:hAnsi="Times New Roman" w:cs="Times New Roman"/>
              </w:rPr>
              <w:t>2024.</w:t>
            </w:r>
          </w:p>
        </w:tc>
      </w:tr>
      <w:tr w:rsidR="00D82F55" w:rsidTr="00292CBC">
        <w:tblPrEx>
          <w:tblCellMar>
            <w:top w:w="0" w:type="dxa"/>
            <w:bottom w:w="0" w:type="dxa"/>
          </w:tblCellMar>
        </w:tblPrEx>
        <w:trPr>
          <w:trHeight w:val="660"/>
        </w:trPr>
        <w:tc>
          <w:tcPr>
            <w:tcW w:w="1414" w:type="dxa"/>
          </w:tcPr>
          <w:p w:rsidR="00292CBC" w:rsidRDefault="00292CBC" w:rsidP="00292CBC">
            <w:pPr>
              <w:pStyle w:val="Bezproreda"/>
              <w:ind w:left="37"/>
              <w:rPr>
                <w:rFonts w:ascii="Times New Roman" w:hAnsi="Times New Roman" w:cs="Times New Roman"/>
              </w:rPr>
            </w:pPr>
          </w:p>
          <w:p w:rsidR="00292CBC" w:rsidRPr="00D05AAB" w:rsidRDefault="00292CBC" w:rsidP="00292CBC">
            <w:pPr>
              <w:pStyle w:val="Bezproreda"/>
              <w:ind w:left="37"/>
              <w:rPr>
                <w:rFonts w:ascii="Times New Roman" w:hAnsi="Times New Roman" w:cs="Times New Roman"/>
              </w:rPr>
            </w:pPr>
          </w:p>
          <w:p w:rsidR="00292CBC" w:rsidRDefault="00292CBC" w:rsidP="00292CBC">
            <w:pPr>
              <w:pStyle w:val="Bezproreda"/>
              <w:ind w:left="37"/>
              <w:rPr>
                <w:rFonts w:ascii="Times New Roman" w:hAnsi="Times New Roman" w:cs="Times New Roman"/>
              </w:rPr>
            </w:pPr>
          </w:p>
        </w:tc>
        <w:tc>
          <w:tcPr>
            <w:tcW w:w="1225" w:type="dxa"/>
          </w:tcPr>
          <w:p w:rsidR="00292CBC" w:rsidRDefault="00292CBC" w:rsidP="00292CBC">
            <w:pPr>
              <w:pStyle w:val="Bezproreda"/>
              <w:ind w:left="1009"/>
              <w:rPr>
                <w:rFonts w:ascii="Times New Roman" w:hAnsi="Times New Roman" w:cs="Times New Roman"/>
              </w:rPr>
            </w:pPr>
          </w:p>
          <w:p w:rsidR="00292CBC" w:rsidRDefault="00292CBC" w:rsidP="00292CBC">
            <w:pPr>
              <w:pStyle w:val="Bezproreda"/>
              <w:ind w:left="37"/>
              <w:rPr>
                <w:rFonts w:ascii="Times New Roman" w:hAnsi="Times New Roman" w:cs="Times New Roman"/>
              </w:rPr>
            </w:pPr>
          </w:p>
        </w:tc>
        <w:tc>
          <w:tcPr>
            <w:tcW w:w="1014" w:type="dxa"/>
          </w:tcPr>
          <w:p w:rsidR="00292CBC" w:rsidRDefault="00292CBC" w:rsidP="00292CBC">
            <w:pPr>
              <w:pStyle w:val="Bezproreda"/>
              <w:rPr>
                <w:rFonts w:ascii="Times New Roman" w:hAnsi="Times New Roman" w:cs="Times New Roman"/>
              </w:rPr>
            </w:pPr>
            <w:r>
              <w:rPr>
                <w:rFonts w:ascii="Times New Roman" w:hAnsi="Times New Roman" w:cs="Times New Roman"/>
              </w:rPr>
              <w:t>LIMIT 1</w:t>
            </w:r>
          </w:p>
          <w:p w:rsidR="00292CBC" w:rsidRDefault="00292CBC" w:rsidP="00292CBC">
            <w:pPr>
              <w:pStyle w:val="Bezproreda"/>
              <w:rPr>
                <w:rFonts w:ascii="Times New Roman" w:hAnsi="Times New Roman" w:cs="Times New Roman"/>
              </w:rPr>
            </w:pPr>
          </w:p>
          <w:p w:rsidR="00292CBC" w:rsidRDefault="00292CBC" w:rsidP="00292CBC">
            <w:pPr>
              <w:pStyle w:val="Bezproreda"/>
              <w:ind w:left="37"/>
              <w:rPr>
                <w:rFonts w:ascii="Times New Roman" w:hAnsi="Times New Roman" w:cs="Times New Roman"/>
              </w:rPr>
            </w:pPr>
          </w:p>
        </w:tc>
        <w:tc>
          <w:tcPr>
            <w:tcW w:w="969" w:type="dxa"/>
          </w:tcPr>
          <w:p w:rsidR="00292CBC" w:rsidRDefault="00292CBC" w:rsidP="00292CBC">
            <w:pPr>
              <w:pStyle w:val="Bezproreda"/>
              <w:rPr>
                <w:rFonts w:ascii="Times New Roman" w:hAnsi="Times New Roman" w:cs="Times New Roman"/>
              </w:rPr>
            </w:pPr>
            <w:r>
              <w:rPr>
                <w:rFonts w:ascii="Times New Roman" w:hAnsi="Times New Roman" w:cs="Times New Roman"/>
              </w:rPr>
              <w:t>LIMIT2</w:t>
            </w:r>
          </w:p>
          <w:p w:rsidR="00292CBC" w:rsidRDefault="00292CBC" w:rsidP="00292CBC">
            <w:pPr>
              <w:pStyle w:val="Bezproreda"/>
              <w:ind w:left="37"/>
              <w:rPr>
                <w:rFonts w:ascii="Times New Roman" w:hAnsi="Times New Roman" w:cs="Times New Roman"/>
              </w:rPr>
            </w:pPr>
          </w:p>
        </w:tc>
        <w:tc>
          <w:tcPr>
            <w:tcW w:w="1067" w:type="dxa"/>
          </w:tcPr>
          <w:p w:rsidR="00292CBC" w:rsidRDefault="00292CBC" w:rsidP="00292CBC">
            <w:pPr>
              <w:pStyle w:val="Bezproreda"/>
              <w:ind w:left="12"/>
              <w:rPr>
                <w:rFonts w:ascii="Times New Roman" w:hAnsi="Times New Roman" w:cs="Times New Roman"/>
              </w:rPr>
            </w:pPr>
            <w:r>
              <w:rPr>
                <w:rFonts w:ascii="Times New Roman" w:hAnsi="Times New Roman" w:cs="Times New Roman"/>
              </w:rPr>
              <w:t>LIMIT 1</w:t>
            </w:r>
          </w:p>
          <w:p w:rsidR="00292CBC" w:rsidRDefault="00292CBC" w:rsidP="00292CBC">
            <w:pPr>
              <w:pStyle w:val="Bezproreda"/>
              <w:ind w:left="37"/>
              <w:rPr>
                <w:rFonts w:ascii="Times New Roman" w:hAnsi="Times New Roman" w:cs="Times New Roman"/>
              </w:rPr>
            </w:pPr>
          </w:p>
        </w:tc>
        <w:tc>
          <w:tcPr>
            <w:tcW w:w="1101" w:type="dxa"/>
            <w:gridSpan w:val="2"/>
          </w:tcPr>
          <w:p w:rsidR="00292CBC" w:rsidRDefault="00292CBC" w:rsidP="00292CBC">
            <w:pPr>
              <w:pStyle w:val="Bezproreda"/>
              <w:ind w:left="69"/>
              <w:rPr>
                <w:rFonts w:ascii="Times New Roman" w:hAnsi="Times New Roman" w:cs="Times New Roman"/>
              </w:rPr>
            </w:pPr>
            <w:r>
              <w:rPr>
                <w:rFonts w:ascii="Times New Roman" w:hAnsi="Times New Roman" w:cs="Times New Roman"/>
              </w:rPr>
              <w:t>LIMIT 2</w:t>
            </w:r>
          </w:p>
          <w:p w:rsidR="00292CBC" w:rsidRDefault="00292CBC" w:rsidP="00292CBC">
            <w:pPr>
              <w:pStyle w:val="Bezproreda"/>
              <w:ind w:left="37"/>
              <w:rPr>
                <w:rFonts w:ascii="Times New Roman" w:hAnsi="Times New Roman" w:cs="Times New Roman"/>
              </w:rPr>
            </w:pPr>
          </w:p>
        </w:tc>
        <w:tc>
          <w:tcPr>
            <w:tcW w:w="1313" w:type="dxa"/>
          </w:tcPr>
          <w:p w:rsidR="00292CBC" w:rsidRDefault="00292CBC" w:rsidP="00292CBC">
            <w:pPr>
              <w:pStyle w:val="Bezproreda"/>
              <w:rPr>
                <w:rFonts w:ascii="Times New Roman" w:hAnsi="Times New Roman" w:cs="Times New Roman"/>
              </w:rPr>
            </w:pPr>
            <w:r>
              <w:rPr>
                <w:rFonts w:ascii="Times New Roman" w:hAnsi="Times New Roman" w:cs="Times New Roman"/>
              </w:rPr>
              <w:t xml:space="preserve">LIMIT 1    </w:t>
            </w:r>
          </w:p>
          <w:p w:rsidR="00292CBC" w:rsidRDefault="00292CBC" w:rsidP="00292CBC">
            <w:pPr>
              <w:pStyle w:val="Bezproreda"/>
              <w:ind w:left="37"/>
              <w:rPr>
                <w:rFonts w:ascii="Times New Roman" w:hAnsi="Times New Roman" w:cs="Times New Roman"/>
              </w:rPr>
            </w:pPr>
          </w:p>
        </w:tc>
        <w:tc>
          <w:tcPr>
            <w:tcW w:w="1001" w:type="dxa"/>
          </w:tcPr>
          <w:p w:rsidR="00292CBC" w:rsidRDefault="00292CBC" w:rsidP="00292CBC">
            <w:pPr>
              <w:pStyle w:val="Bezproreda"/>
              <w:ind w:left="37"/>
              <w:rPr>
                <w:rFonts w:ascii="Times New Roman" w:hAnsi="Times New Roman" w:cs="Times New Roman"/>
              </w:rPr>
            </w:pPr>
            <w:r>
              <w:rPr>
                <w:rFonts w:ascii="Times New Roman" w:hAnsi="Times New Roman" w:cs="Times New Roman"/>
              </w:rPr>
              <w:t>LIM.2</w:t>
            </w:r>
          </w:p>
        </w:tc>
      </w:tr>
      <w:tr w:rsidR="00292CBC" w:rsidTr="00292CBC">
        <w:tblPrEx>
          <w:tblCellMar>
            <w:top w:w="0" w:type="dxa"/>
            <w:bottom w:w="0" w:type="dxa"/>
          </w:tblCellMar>
        </w:tblPrEx>
        <w:trPr>
          <w:trHeight w:val="1410"/>
        </w:trPr>
        <w:tc>
          <w:tcPr>
            <w:tcW w:w="1414" w:type="dxa"/>
          </w:tcPr>
          <w:p w:rsidR="00292CBC" w:rsidRPr="00D82F55" w:rsidRDefault="00D82F55" w:rsidP="00292CBC">
            <w:pPr>
              <w:pStyle w:val="Bezproreda"/>
              <w:ind w:left="37"/>
              <w:rPr>
                <w:rFonts w:ascii="Times New Roman" w:hAnsi="Times New Roman" w:cs="Times New Roman"/>
                <w:sz w:val="18"/>
                <w:szCs w:val="18"/>
              </w:rPr>
            </w:pPr>
            <w:r w:rsidRPr="00D82F55">
              <w:rPr>
                <w:rFonts w:ascii="Times New Roman" w:hAnsi="Times New Roman" w:cs="Times New Roman"/>
                <w:sz w:val="18"/>
                <w:szCs w:val="18"/>
              </w:rPr>
              <w:t>2.244.000</w:t>
            </w:r>
          </w:p>
        </w:tc>
        <w:tc>
          <w:tcPr>
            <w:tcW w:w="1225" w:type="dxa"/>
          </w:tcPr>
          <w:p w:rsidR="00292CBC" w:rsidRPr="00D82F55" w:rsidRDefault="00292CBC" w:rsidP="00292CBC">
            <w:pPr>
              <w:pStyle w:val="Bezproreda"/>
              <w:ind w:left="37"/>
              <w:rPr>
                <w:rFonts w:ascii="Times New Roman" w:hAnsi="Times New Roman" w:cs="Times New Roman"/>
                <w:sz w:val="18"/>
                <w:szCs w:val="18"/>
              </w:rPr>
            </w:pPr>
            <w:r w:rsidRPr="00D82F55">
              <w:rPr>
                <w:rFonts w:ascii="Times New Roman" w:hAnsi="Times New Roman" w:cs="Times New Roman"/>
                <w:sz w:val="18"/>
                <w:szCs w:val="18"/>
              </w:rPr>
              <w:t>2.885.000</w:t>
            </w:r>
          </w:p>
        </w:tc>
        <w:tc>
          <w:tcPr>
            <w:tcW w:w="1014" w:type="dxa"/>
          </w:tcPr>
          <w:p w:rsidR="00292CBC" w:rsidRPr="00D82F55" w:rsidRDefault="00292CBC" w:rsidP="00292CBC">
            <w:pPr>
              <w:pStyle w:val="Bezproreda"/>
              <w:ind w:left="37"/>
              <w:rPr>
                <w:rFonts w:ascii="Times New Roman" w:hAnsi="Times New Roman" w:cs="Times New Roman"/>
                <w:sz w:val="18"/>
                <w:szCs w:val="18"/>
              </w:rPr>
            </w:pPr>
            <w:r w:rsidRPr="00D82F55">
              <w:rPr>
                <w:rFonts w:ascii="Times New Roman" w:hAnsi="Times New Roman" w:cs="Times New Roman"/>
                <w:sz w:val="18"/>
                <w:szCs w:val="18"/>
              </w:rPr>
              <w:t>3.100.000</w:t>
            </w:r>
          </w:p>
        </w:tc>
        <w:tc>
          <w:tcPr>
            <w:tcW w:w="969" w:type="dxa"/>
          </w:tcPr>
          <w:p w:rsidR="00292CBC" w:rsidRPr="00D82F55" w:rsidRDefault="00292CBC" w:rsidP="00292CBC">
            <w:pPr>
              <w:pStyle w:val="Bezproreda"/>
              <w:ind w:left="37"/>
              <w:rPr>
                <w:rFonts w:ascii="Times New Roman" w:hAnsi="Times New Roman" w:cs="Times New Roman"/>
                <w:sz w:val="18"/>
                <w:szCs w:val="18"/>
              </w:rPr>
            </w:pPr>
            <w:r w:rsidRPr="00D82F55">
              <w:rPr>
                <w:rFonts w:ascii="Times New Roman" w:hAnsi="Times New Roman" w:cs="Times New Roman"/>
                <w:sz w:val="18"/>
                <w:szCs w:val="18"/>
              </w:rPr>
              <w:t>3.150.000</w:t>
            </w:r>
          </w:p>
        </w:tc>
        <w:tc>
          <w:tcPr>
            <w:tcW w:w="1067" w:type="dxa"/>
          </w:tcPr>
          <w:p w:rsidR="00292CBC" w:rsidRPr="00D82F55" w:rsidRDefault="00D82F55" w:rsidP="00292CBC">
            <w:pPr>
              <w:pStyle w:val="Bezproreda"/>
              <w:ind w:left="37"/>
              <w:rPr>
                <w:rFonts w:ascii="Times New Roman" w:hAnsi="Times New Roman" w:cs="Times New Roman"/>
                <w:sz w:val="18"/>
                <w:szCs w:val="18"/>
              </w:rPr>
            </w:pPr>
            <w:r w:rsidRPr="00D82F55">
              <w:rPr>
                <w:rFonts w:ascii="Times New Roman" w:hAnsi="Times New Roman" w:cs="Times New Roman"/>
                <w:sz w:val="18"/>
                <w:szCs w:val="18"/>
              </w:rPr>
              <w:t>3.200.000</w:t>
            </w:r>
          </w:p>
        </w:tc>
        <w:tc>
          <w:tcPr>
            <w:tcW w:w="1101" w:type="dxa"/>
            <w:gridSpan w:val="2"/>
          </w:tcPr>
          <w:p w:rsidR="00292CBC" w:rsidRPr="00D82F55" w:rsidRDefault="00D82F55" w:rsidP="00292CBC">
            <w:pPr>
              <w:pStyle w:val="Bezproreda"/>
              <w:ind w:left="37"/>
              <w:rPr>
                <w:rFonts w:ascii="Times New Roman" w:hAnsi="Times New Roman" w:cs="Times New Roman"/>
                <w:sz w:val="18"/>
                <w:szCs w:val="18"/>
              </w:rPr>
            </w:pPr>
            <w:r w:rsidRPr="00D82F55">
              <w:rPr>
                <w:rFonts w:ascii="Times New Roman" w:hAnsi="Times New Roman" w:cs="Times New Roman"/>
                <w:sz w:val="18"/>
                <w:szCs w:val="18"/>
              </w:rPr>
              <w:t>3.250.000</w:t>
            </w:r>
          </w:p>
        </w:tc>
        <w:tc>
          <w:tcPr>
            <w:tcW w:w="1313" w:type="dxa"/>
          </w:tcPr>
          <w:p w:rsidR="00292CBC" w:rsidRPr="00D82F55" w:rsidRDefault="00D82F55" w:rsidP="00292CBC">
            <w:pPr>
              <w:pStyle w:val="Bezproreda"/>
              <w:ind w:left="37"/>
              <w:rPr>
                <w:rFonts w:ascii="Times New Roman" w:hAnsi="Times New Roman" w:cs="Times New Roman"/>
                <w:sz w:val="18"/>
                <w:szCs w:val="18"/>
              </w:rPr>
            </w:pPr>
            <w:r>
              <w:rPr>
                <w:rFonts w:ascii="Times New Roman" w:hAnsi="Times New Roman" w:cs="Times New Roman"/>
                <w:sz w:val="18"/>
                <w:szCs w:val="18"/>
              </w:rPr>
              <w:t>3.300.000</w:t>
            </w:r>
          </w:p>
        </w:tc>
        <w:tc>
          <w:tcPr>
            <w:tcW w:w="1001" w:type="dxa"/>
          </w:tcPr>
          <w:p w:rsidR="00292CBC" w:rsidRPr="00D82F55" w:rsidRDefault="00D82F55" w:rsidP="00292CBC">
            <w:pPr>
              <w:pStyle w:val="Bezproreda"/>
              <w:ind w:left="37"/>
              <w:rPr>
                <w:rFonts w:ascii="Times New Roman" w:hAnsi="Times New Roman" w:cs="Times New Roman"/>
                <w:sz w:val="18"/>
                <w:szCs w:val="18"/>
              </w:rPr>
            </w:pPr>
            <w:r>
              <w:rPr>
                <w:rFonts w:ascii="Times New Roman" w:hAnsi="Times New Roman" w:cs="Times New Roman"/>
                <w:sz w:val="18"/>
                <w:szCs w:val="18"/>
              </w:rPr>
              <w:t>3.350.000</w:t>
            </w:r>
          </w:p>
        </w:tc>
      </w:tr>
    </w:tbl>
    <w:p w:rsidR="00DB5223" w:rsidRDefault="00DB5223" w:rsidP="00292CBC">
      <w:pPr>
        <w:rPr>
          <w:rFonts w:ascii="Times New Roman" w:hAnsi="Times New Roman" w:cs="Times New Roman"/>
        </w:rPr>
      </w:pPr>
    </w:p>
    <w:p w:rsidR="00D82F55" w:rsidRDefault="00AE0459" w:rsidP="00292CBC">
      <w:pPr>
        <w:rPr>
          <w:rFonts w:ascii="Times New Roman" w:hAnsi="Times New Roman" w:cs="Times New Roman"/>
        </w:rPr>
      </w:pPr>
      <w:r>
        <w:rPr>
          <w:rFonts w:ascii="Times New Roman" w:hAnsi="Times New Roman" w:cs="Times New Roman"/>
        </w:rPr>
        <w:t>Vezano za programe te aktivnosti i projekte iz nadležnosti proračunskog korisnika potrebno je pridržavati se isključivo postojećih.</w:t>
      </w:r>
    </w:p>
    <w:p w:rsidR="00AE0459" w:rsidRDefault="00AE0459" w:rsidP="00292CBC">
      <w:pPr>
        <w:rPr>
          <w:rFonts w:ascii="Times New Roman" w:hAnsi="Times New Roman" w:cs="Times New Roman"/>
        </w:rPr>
      </w:pPr>
      <w:r>
        <w:rPr>
          <w:rFonts w:ascii="Times New Roman" w:hAnsi="Times New Roman" w:cs="Times New Roman"/>
        </w:rPr>
        <w:t>Za eventualno nove programe potrebno je pismeno kontaktirati Jedinstveni upravni odjel. Proračunski korisnik treba prvo planirati projekte i aktivnosti u skladu s utvrđenim prioritetima, raspoloživim sredstvima te realnom dinamikom provedbe projekte. Prilikom planiranja rashoda  proračunski korisnik dužan je realno procijeniti i najprije planirati fiksne rashode (rashode za zaposlene, materijalne rashode, ugovorne obveze) a razliku do odobrenog limita planirati za nove projekte.</w:t>
      </w:r>
    </w:p>
    <w:p w:rsidR="00AE0459" w:rsidRDefault="00AE0459" w:rsidP="00292CBC">
      <w:pPr>
        <w:rPr>
          <w:rFonts w:ascii="Times New Roman" w:hAnsi="Times New Roman" w:cs="Times New Roman"/>
        </w:rPr>
      </w:pPr>
      <w:r>
        <w:rPr>
          <w:rFonts w:ascii="Times New Roman" w:hAnsi="Times New Roman" w:cs="Times New Roman"/>
        </w:rPr>
        <w:t>Treba naglasiti da je čelnik jedinice lokalne i područne (regionalne) samouprave, odnosno čelnik proračunskog korisnika odgovoran, osim za zakonito planiranje i izvršavanje proračuna odnosno financijskog plana, i za svrhovitost, učinkovitost i za ekonomično raspolaganje proračunskim sredstvima proračuna odnosno financijskog plana.</w:t>
      </w:r>
    </w:p>
    <w:p w:rsidR="00AE0459" w:rsidRDefault="00AE0459" w:rsidP="00292CBC">
      <w:pPr>
        <w:rPr>
          <w:rFonts w:ascii="Times New Roman" w:hAnsi="Times New Roman" w:cs="Times New Roman"/>
        </w:rPr>
      </w:pPr>
    </w:p>
    <w:p w:rsidR="00AE0459" w:rsidRPr="005E5276" w:rsidRDefault="00AE0459" w:rsidP="00AE0459">
      <w:pPr>
        <w:pStyle w:val="Odlomakpopisa"/>
        <w:numPr>
          <w:ilvl w:val="0"/>
          <w:numId w:val="3"/>
        </w:numPr>
        <w:rPr>
          <w:rFonts w:ascii="Times New Roman" w:hAnsi="Times New Roman" w:cs="Times New Roman"/>
          <w:b/>
          <w:bCs/>
        </w:rPr>
      </w:pPr>
      <w:r w:rsidRPr="005E5276">
        <w:rPr>
          <w:rFonts w:ascii="Times New Roman" w:hAnsi="Times New Roman" w:cs="Times New Roman"/>
          <w:b/>
          <w:bCs/>
        </w:rPr>
        <w:t>VREMENSKA DINAMIKA IZRADE FINANCIJSKIH PLANOVA I PRORAČUNA ZA 2022-</w:t>
      </w:r>
      <w:r w:rsidR="007855AC" w:rsidRPr="005E5276">
        <w:rPr>
          <w:rFonts w:ascii="Times New Roman" w:hAnsi="Times New Roman" w:cs="Times New Roman"/>
          <w:b/>
          <w:bCs/>
        </w:rPr>
        <w:t>2024. GODINU</w:t>
      </w:r>
    </w:p>
    <w:p w:rsidR="007855AC" w:rsidRDefault="007855AC" w:rsidP="007855AC">
      <w:pPr>
        <w:rPr>
          <w:rFonts w:ascii="Times New Roman" w:hAnsi="Times New Roman" w:cs="Times New Roman"/>
        </w:rPr>
      </w:pPr>
      <w:r>
        <w:rPr>
          <w:rFonts w:ascii="Times New Roman" w:hAnsi="Times New Roman" w:cs="Times New Roman"/>
        </w:rPr>
        <w:t>Rok dostave financijskog plana proračunskog korisnika Jedinstvenom upravnom odjelu Općine Marina je 15.10.2021.</w:t>
      </w:r>
    </w:p>
    <w:p w:rsidR="007855AC" w:rsidRDefault="007855AC" w:rsidP="007855AC">
      <w:pPr>
        <w:rPr>
          <w:rFonts w:ascii="Times New Roman" w:hAnsi="Times New Roman" w:cs="Times New Roman"/>
        </w:rPr>
      </w:pPr>
      <w:r>
        <w:rPr>
          <w:rFonts w:ascii="Times New Roman" w:hAnsi="Times New Roman" w:cs="Times New Roman"/>
        </w:rPr>
        <w:t>U razdoblju od 16.10. do 30.10.2021. izvršit će se usuglašavanje sa procijenjenim proračunskim prihodima.</w:t>
      </w:r>
    </w:p>
    <w:p w:rsidR="007855AC" w:rsidRDefault="007855AC" w:rsidP="007855AC">
      <w:pPr>
        <w:rPr>
          <w:rFonts w:ascii="Times New Roman" w:hAnsi="Times New Roman" w:cs="Times New Roman"/>
        </w:rPr>
      </w:pPr>
      <w:r>
        <w:rPr>
          <w:rFonts w:ascii="Times New Roman" w:hAnsi="Times New Roman" w:cs="Times New Roman"/>
        </w:rPr>
        <w:t>Konačna izrada Nacrta prijedloga Proračuna za 2022. godinu sa projekcijama za 2023.-2024. te Nacrt prijedloga Odluke o izvršavanju proračuna za 2022. bit će izrađen u vremenskom razdoblju od  01.11. do 13.11.2021, zajedno sa svim ostalim obveznim planovima i dostavljena Općinskom načelniku na prihvaćanje.</w:t>
      </w:r>
    </w:p>
    <w:p w:rsidR="007855AC" w:rsidRDefault="007855AC" w:rsidP="007855AC">
      <w:pPr>
        <w:rPr>
          <w:rFonts w:ascii="Times New Roman" w:hAnsi="Times New Roman" w:cs="Times New Roman"/>
        </w:rPr>
      </w:pPr>
      <w:r>
        <w:rPr>
          <w:rFonts w:ascii="Times New Roman" w:hAnsi="Times New Roman" w:cs="Times New Roman"/>
        </w:rPr>
        <w:t>Općinski načelnik utvrđuje prijedlog proračuna za 2022. i projekcija za 2023. i 2024. i podnosi ih Općinskom vijeću na donošenje do 15. 11.2021.</w:t>
      </w:r>
    </w:p>
    <w:p w:rsidR="007855AC" w:rsidRDefault="007855AC" w:rsidP="007855AC">
      <w:pPr>
        <w:rPr>
          <w:rFonts w:ascii="Times New Roman" w:hAnsi="Times New Roman" w:cs="Times New Roman"/>
        </w:rPr>
      </w:pPr>
    </w:p>
    <w:p w:rsidR="007855AC" w:rsidRPr="005E5276" w:rsidRDefault="007855AC" w:rsidP="007855AC">
      <w:pPr>
        <w:pStyle w:val="Odlomakpopisa"/>
        <w:numPr>
          <w:ilvl w:val="0"/>
          <w:numId w:val="3"/>
        </w:numPr>
        <w:rPr>
          <w:rFonts w:ascii="Times New Roman" w:hAnsi="Times New Roman" w:cs="Times New Roman"/>
          <w:b/>
          <w:bCs/>
        </w:rPr>
      </w:pPr>
      <w:r w:rsidRPr="005E5276">
        <w:rPr>
          <w:rFonts w:ascii="Times New Roman" w:hAnsi="Times New Roman" w:cs="Times New Roman"/>
          <w:b/>
          <w:bCs/>
        </w:rPr>
        <w:t>DOSTAVA DOKUMENATA I UNOS PODATAKA</w:t>
      </w:r>
    </w:p>
    <w:p w:rsidR="00BB7CBE" w:rsidRDefault="00BB7CBE" w:rsidP="00BB7CBE">
      <w:pPr>
        <w:pStyle w:val="Odlomakpopisa"/>
        <w:numPr>
          <w:ilvl w:val="1"/>
          <w:numId w:val="3"/>
        </w:numPr>
        <w:rPr>
          <w:rFonts w:ascii="Times New Roman" w:hAnsi="Times New Roman" w:cs="Times New Roman"/>
        </w:rPr>
      </w:pPr>
      <w:r>
        <w:rPr>
          <w:rFonts w:ascii="Times New Roman" w:hAnsi="Times New Roman" w:cs="Times New Roman"/>
        </w:rPr>
        <w:t>Dostava proračunskih dokumenata Ministarstvu financija i Državnom uredu za reviziju temeljem Zakona o proračunu</w:t>
      </w:r>
    </w:p>
    <w:p w:rsidR="00BB7CBE" w:rsidRDefault="00BB7CBE" w:rsidP="00BB7CBE">
      <w:pPr>
        <w:ind w:left="360"/>
        <w:rPr>
          <w:rFonts w:ascii="Times New Roman" w:hAnsi="Times New Roman" w:cs="Times New Roman"/>
        </w:rPr>
      </w:pPr>
      <w:r>
        <w:rPr>
          <w:rFonts w:ascii="Times New Roman" w:hAnsi="Times New Roman" w:cs="Times New Roman"/>
        </w:rPr>
        <w:t>Sukladno članku 40. Zakona o proračunu, općinski načelnik obavezan je dostaviti Ministarstvu financija slijedeće akte:</w:t>
      </w:r>
    </w:p>
    <w:p w:rsidR="00BB7CBE" w:rsidRDefault="00BB7CBE" w:rsidP="00BB7CBE">
      <w:pPr>
        <w:pStyle w:val="Odlomakpopisa"/>
        <w:numPr>
          <w:ilvl w:val="0"/>
          <w:numId w:val="2"/>
        </w:numPr>
        <w:rPr>
          <w:rFonts w:ascii="Times New Roman" w:hAnsi="Times New Roman" w:cs="Times New Roman"/>
        </w:rPr>
      </w:pPr>
      <w:r>
        <w:rPr>
          <w:rFonts w:ascii="Times New Roman" w:hAnsi="Times New Roman" w:cs="Times New Roman"/>
        </w:rPr>
        <w:t>Proračun za proračunsku godinu i projekcije za slijedeće dvije,</w:t>
      </w:r>
    </w:p>
    <w:p w:rsidR="00BB7CBE" w:rsidRDefault="00BB7CBE" w:rsidP="00BB7CBE">
      <w:pPr>
        <w:pStyle w:val="Odlomakpopisa"/>
        <w:numPr>
          <w:ilvl w:val="0"/>
          <w:numId w:val="2"/>
        </w:numPr>
        <w:rPr>
          <w:rFonts w:ascii="Times New Roman" w:hAnsi="Times New Roman" w:cs="Times New Roman"/>
        </w:rPr>
      </w:pPr>
      <w:r>
        <w:rPr>
          <w:rFonts w:ascii="Times New Roman" w:hAnsi="Times New Roman" w:cs="Times New Roman"/>
        </w:rPr>
        <w:t xml:space="preserve">Odluku o izvršenju proračuna </w:t>
      </w:r>
    </w:p>
    <w:p w:rsidR="00BB7CBE" w:rsidRDefault="00BB7CBE" w:rsidP="00BB7CBE">
      <w:pPr>
        <w:pStyle w:val="Odlomakpopisa"/>
        <w:numPr>
          <w:ilvl w:val="0"/>
          <w:numId w:val="2"/>
        </w:numPr>
        <w:rPr>
          <w:rFonts w:ascii="Times New Roman" w:hAnsi="Times New Roman" w:cs="Times New Roman"/>
        </w:rPr>
      </w:pPr>
      <w:r>
        <w:rPr>
          <w:rFonts w:ascii="Times New Roman" w:hAnsi="Times New Roman" w:cs="Times New Roman"/>
        </w:rPr>
        <w:t>Izmjene i dopune Proračuna te izmjene i dopune Odluke o izvršavanju proračuna</w:t>
      </w:r>
    </w:p>
    <w:p w:rsidR="00BB7CBE" w:rsidRDefault="00BB7CBE" w:rsidP="00BB7CBE">
      <w:pPr>
        <w:pStyle w:val="Odlomakpopisa"/>
        <w:numPr>
          <w:ilvl w:val="0"/>
          <w:numId w:val="2"/>
        </w:numPr>
        <w:rPr>
          <w:rFonts w:ascii="Times New Roman" w:hAnsi="Times New Roman" w:cs="Times New Roman"/>
        </w:rPr>
      </w:pPr>
      <w:r>
        <w:rPr>
          <w:rFonts w:ascii="Times New Roman" w:hAnsi="Times New Roman" w:cs="Times New Roman"/>
        </w:rPr>
        <w:t>Odluku o privremenom financiranju jedinice lokalne i područne (regionalne) samouprave, ako predstavničko tijelo ne donese proračun do zakonom zadanog roka.</w:t>
      </w:r>
    </w:p>
    <w:p w:rsidR="00BB7CBE" w:rsidRDefault="00BB7CBE" w:rsidP="00BB7CBE">
      <w:pPr>
        <w:ind w:left="360"/>
        <w:rPr>
          <w:rFonts w:ascii="Times New Roman" w:hAnsi="Times New Roman" w:cs="Times New Roman"/>
        </w:rPr>
      </w:pPr>
      <w:r>
        <w:rPr>
          <w:rFonts w:ascii="Times New Roman" w:hAnsi="Times New Roman" w:cs="Times New Roman"/>
        </w:rPr>
        <w:t xml:space="preserve">Navedeni akti obavezni su se dostaviti Ministarstvu financija u roku od 15 dana od dana njihova stupanja na snagu i to dostavom linka na adresu e-pošte Ministarstva financija </w:t>
      </w:r>
      <w:hyperlink r:id="rId5" w:history="1">
        <w:r w:rsidRPr="00046965">
          <w:rPr>
            <w:rStyle w:val="Hiperveza"/>
            <w:rFonts w:ascii="Times New Roman" w:hAnsi="Times New Roman" w:cs="Times New Roman"/>
          </w:rPr>
          <w:t>lokalni.proracuni@mfin.hr</w:t>
        </w:r>
      </w:hyperlink>
      <w:r>
        <w:rPr>
          <w:rFonts w:ascii="Times New Roman" w:hAnsi="Times New Roman" w:cs="Times New Roman"/>
        </w:rPr>
        <w:t xml:space="preserve"> na Internet stranicu jedinice lokalne samo</w:t>
      </w:r>
      <w:r w:rsidR="003C51B4">
        <w:rPr>
          <w:rFonts w:ascii="Times New Roman" w:hAnsi="Times New Roman" w:cs="Times New Roman"/>
        </w:rPr>
        <w:t>upr</w:t>
      </w:r>
      <w:r>
        <w:rPr>
          <w:rFonts w:ascii="Times New Roman" w:hAnsi="Times New Roman" w:cs="Times New Roman"/>
        </w:rPr>
        <w:t>ave</w:t>
      </w:r>
      <w:r w:rsidR="003C51B4">
        <w:rPr>
          <w:rFonts w:ascii="Times New Roman" w:hAnsi="Times New Roman" w:cs="Times New Roman"/>
        </w:rPr>
        <w:t>.</w:t>
      </w:r>
    </w:p>
    <w:p w:rsidR="003C51B4" w:rsidRDefault="003C51B4" w:rsidP="00BB7CBE">
      <w:pPr>
        <w:ind w:left="360"/>
        <w:rPr>
          <w:rFonts w:ascii="Times New Roman" w:hAnsi="Times New Roman" w:cs="Times New Roman"/>
        </w:rPr>
      </w:pPr>
      <w:r>
        <w:rPr>
          <w:rFonts w:ascii="Times New Roman" w:hAnsi="Times New Roman" w:cs="Times New Roman"/>
        </w:rPr>
        <w:t>Sukladno članku 112. Zakona o proračunu, godišnji izvještaj o izvršenju proračuna Općine Marina dostavlja se Ministarstvu financija i Državnom uredu za reviziju u roku od 15 dana nakon što ga donese predstavničko tijelo. Iznimno, ako predstavničko tijelo ne donese izvještaj, isti se dostavlja Ministarstvu financija i Državnom uredu za reviziju u roku od 60 dana od dana podnošenja predstavničkom tijelu.</w:t>
      </w:r>
    </w:p>
    <w:p w:rsidR="003C51B4" w:rsidRDefault="003C51B4" w:rsidP="00BB7CBE">
      <w:pPr>
        <w:ind w:left="360"/>
        <w:rPr>
          <w:rFonts w:ascii="Times New Roman" w:hAnsi="Times New Roman" w:cs="Times New Roman"/>
        </w:rPr>
      </w:pPr>
      <w:r>
        <w:rPr>
          <w:rFonts w:ascii="Times New Roman" w:hAnsi="Times New Roman" w:cs="Times New Roman"/>
        </w:rPr>
        <w:t>Polugodišnji i godišnji izvještaj o izvršenju proračuna Općine Marina dostavlja se isključivo dostavom linka na internetsku stranicu Općine Marina na kojoj je izvještaj objavljen i to:</w:t>
      </w:r>
    </w:p>
    <w:p w:rsidR="003C51B4" w:rsidRDefault="003C51B4" w:rsidP="003C51B4">
      <w:pPr>
        <w:pStyle w:val="Odlomakpopisa"/>
        <w:numPr>
          <w:ilvl w:val="0"/>
          <w:numId w:val="2"/>
        </w:numPr>
        <w:rPr>
          <w:rFonts w:ascii="Times New Roman" w:hAnsi="Times New Roman" w:cs="Times New Roman"/>
        </w:rPr>
      </w:pPr>
      <w:r>
        <w:rPr>
          <w:rFonts w:ascii="Times New Roman" w:hAnsi="Times New Roman" w:cs="Times New Roman"/>
        </w:rPr>
        <w:t xml:space="preserve">Ministarstvu financija na e-mail adresu: </w:t>
      </w:r>
      <w:hyperlink r:id="rId6" w:history="1">
        <w:r w:rsidRPr="00046965">
          <w:rPr>
            <w:rStyle w:val="Hiperveza"/>
            <w:rFonts w:ascii="Times New Roman" w:hAnsi="Times New Roman" w:cs="Times New Roman"/>
          </w:rPr>
          <w:t>lokalni.proracun@mfin.hr</w:t>
        </w:r>
      </w:hyperlink>
    </w:p>
    <w:p w:rsidR="003C51B4" w:rsidRDefault="003C51B4" w:rsidP="003C51B4">
      <w:pPr>
        <w:pStyle w:val="Odlomakpopisa"/>
        <w:numPr>
          <w:ilvl w:val="0"/>
          <w:numId w:val="2"/>
        </w:numPr>
        <w:rPr>
          <w:rFonts w:ascii="Times New Roman" w:hAnsi="Times New Roman" w:cs="Times New Roman"/>
        </w:rPr>
      </w:pPr>
      <w:r>
        <w:rPr>
          <w:rFonts w:ascii="Times New Roman" w:hAnsi="Times New Roman" w:cs="Times New Roman"/>
        </w:rPr>
        <w:t xml:space="preserve">Državnom uredu za reviziju na e-mail adresu: </w:t>
      </w:r>
      <w:hyperlink r:id="rId7" w:history="1">
        <w:r w:rsidRPr="00046965">
          <w:rPr>
            <w:rStyle w:val="Hiperveza"/>
            <w:rFonts w:ascii="Times New Roman" w:hAnsi="Times New Roman" w:cs="Times New Roman"/>
          </w:rPr>
          <w:t>dur.split</w:t>
        </w:r>
        <w:r w:rsidRPr="00046965">
          <w:rPr>
            <w:rStyle w:val="Hiperveza"/>
            <w:rFonts w:ascii="Times New Roman" w:hAnsi="Times New Roman" w:cs="Times New Roman"/>
          </w:rPr>
          <w:t>@revizija.hr</w:t>
        </w:r>
      </w:hyperlink>
    </w:p>
    <w:p w:rsidR="003C51B4" w:rsidRDefault="003C51B4" w:rsidP="003C51B4">
      <w:pPr>
        <w:rPr>
          <w:rFonts w:ascii="Times New Roman" w:hAnsi="Times New Roman" w:cs="Times New Roman"/>
        </w:rPr>
      </w:pPr>
      <w:r>
        <w:rPr>
          <w:rFonts w:ascii="Times New Roman" w:hAnsi="Times New Roman" w:cs="Times New Roman"/>
        </w:rPr>
        <w:t>5.2.DOSTAVA PRORAČUNSKIH DOKUMENATA MINISTARSTVU FINANCIJA RADI NADZORA AKATA</w:t>
      </w:r>
    </w:p>
    <w:p w:rsidR="003C51B4" w:rsidRDefault="003C51B4" w:rsidP="003C51B4">
      <w:pPr>
        <w:rPr>
          <w:rFonts w:ascii="Times New Roman" w:hAnsi="Times New Roman" w:cs="Times New Roman"/>
        </w:rPr>
      </w:pPr>
      <w:r>
        <w:rPr>
          <w:rFonts w:ascii="Times New Roman" w:hAnsi="Times New Roman" w:cs="Times New Roman"/>
        </w:rPr>
        <w:t>Ministarstvo financija nadležno je za nadzor zakonitosti općih akata iz područja financija i to:</w:t>
      </w:r>
    </w:p>
    <w:p w:rsidR="003C51B4" w:rsidRDefault="003C51B4" w:rsidP="003C51B4">
      <w:pPr>
        <w:pStyle w:val="Odlomakpopisa"/>
        <w:numPr>
          <w:ilvl w:val="0"/>
          <w:numId w:val="7"/>
        </w:numPr>
        <w:rPr>
          <w:rFonts w:ascii="Times New Roman" w:hAnsi="Times New Roman" w:cs="Times New Roman"/>
        </w:rPr>
      </w:pPr>
      <w:r>
        <w:rPr>
          <w:rFonts w:ascii="Times New Roman" w:hAnsi="Times New Roman" w:cs="Times New Roman"/>
        </w:rPr>
        <w:t>Proračun za tekuću proračunsku godinu i projekcije za slijedeće dvije</w:t>
      </w:r>
    </w:p>
    <w:p w:rsidR="003C51B4" w:rsidRDefault="003C51B4" w:rsidP="003C51B4">
      <w:pPr>
        <w:pStyle w:val="Odlomakpopisa"/>
        <w:numPr>
          <w:ilvl w:val="0"/>
          <w:numId w:val="7"/>
        </w:numPr>
        <w:rPr>
          <w:rFonts w:ascii="Times New Roman" w:hAnsi="Times New Roman" w:cs="Times New Roman"/>
        </w:rPr>
      </w:pPr>
      <w:r>
        <w:rPr>
          <w:rFonts w:ascii="Times New Roman" w:hAnsi="Times New Roman" w:cs="Times New Roman"/>
        </w:rPr>
        <w:t>Odluku o izvršenju Proračuna te izmjene i dopune navedene Odluke</w:t>
      </w:r>
    </w:p>
    <w:p w:rsidR="003C51B4" w:rsidRDefault="003C51B4" w:rsidP="003C51B4">
      <w:pPr>
        <w:pStyle w:val="Odlomakpopisa"/>
        <w:numPr>
          <w:ilvl w:val="0"/>
          <w:numId w:val="7"/>
        </w:numPr>
        <w:rPr>
          <w:rFonts w:ascii="Times New Roman" w:hAnsi="Times New Roman" w:cs="Times New Roman"/>
        </w:rPr>
      </w:pPr>
      <w:r>
        <w:rPr>
          <w:rFonts w:ascii="Times New Roman" w:hAnsi="Times New Roman" w:cs="Times New Roman"/>
        </w:rPr>
        <w:t>Izmjene i dopune Proračuna</w:t>
      </w:r>
    </w:p>
    <w:p w:rsidR="003C51B4" w:rsidRDefault="003C51B4" w:rsidP="003C51B4">
      <w:pPr>
        <w:pStyle w:val="Odlomakpopisa"/>
        <w:numPr>
          <w:ilvl w:val="0"/>
          <w:numId w:val="7"/>
        </w:numPr>
        <w:rPr>
          <w:rFonts w:ascii="Times New Roman" w:hAnsi="Times New Roman" w:cs="Times New Roman"/>
        </w:rPr>
      </w:pPr>
      <w:r>
        <w:rPr>
          <w:rFonts w:ascii="Times New Roman" w:hAnsi="Times New Roman" w:cs="Times New Roman"/>
        </w:rPr>
        <w:t>Odluka o privremenom financiranju jedinica lokalne i područne samouprave</w:t>
      </w:r>
    </w:p>
    <w:p w:rsidR="003C51B4" w:rsidRDefault="003C51B4" w:rsidP="003C51B4">
      <w:pPr>
        <w:pStyle w:val="Odlomakpopisa"/>
        <w:numPr>
          <w:ilvl w:val="0"/>
          <w:numId w:val="7"/>
        </w:numPr>
        <w:rPr>
          <w:rFonts w:ascii="Times New Roman" w:hAnsi="Times New Roman" w:cs="Times New Roman"/>
        </w:rPr>
      </w:pPr>
      <w:r>
        <w:rPr>
          <w:rFonts w:ascii="Times New Roman" w:hAnsi="Times New Roman" w:cs="Times New Roman"/>
        </w:rPr>
        <w:t>Odluka o porezima</w:t>
      </w:r>
    </w:p>
    <w:p w:rsidR="00A114CA" w:rsidRDefault="003C51B4" w:rsidP="00A114CA">
      <w:pPr>
        <w:rPr>
          <w:rFonts w:ascii="Times New Roman" w:hAnsi="Times New Roman" w:cs="Times New Roman"/>
        </w:rPr>
      </w:pPr>
      <w:r>
        <w:rPr>
          <w:rFonts w:ascii="Times New Roman" w:hAnsi="Times New Roman" w:cs="Times New Roman"/>
        </w:rPr>
        <w:t>Predsjednik vijeća Općine Marina dužan je u roku od 15 dana od dana donošenja općeg akta dostaviti ga poštom u papirnatom obliku na adresu: Ministarstvo financija, Sektor za financijski i proračunski nadzor, Katančićeva 5, Zagreb.</w:t>
      </w:r>
    </w:p>
    <w:p w:rsidR="00A114CA" w:rsidRDefault="00A114CA" w:rsidP="00A114CA">
      <w:pPr>
        <w:rPr>
          <w:rFonts w:ascii="Times New Roman" w:hAnsi="Times New Roman" w:cs="Times New Roman"/>
        </w:rPr>
      </w:pPr>
      <w:r>
        <w:rPr>
          <w:rFonts w:ascii="Times New Roman" w:hAnsi="Times New Roman" w:cs="Times New Roman"/>
        </w:rPr>
        <w:t>5.3.DOSTAVA UGOVORA TE IZVJEŠĆA O ZADUŽENJU, DANIM JAMSTVIMA I SUGLASNOSTIMA (OBRAZAC IZJS-IZVJEŠĆE O ZADUŽENJU/JAMSTVU/SUGLASNOSTI)</w:t>
      </w:r>
    </w:p>
    <w:p w:rsidR="00A114CA" w:rsidRPr="00A114CA" w:rsidRDefault="00A114CA" w:rsidP="00A114CA">
      <w:pPr>
        <w:rPr>
          <w:rFonts w:ascii="Times New Roman" w:hAnsi="Times New Roman" w:cs="Times New Roman"/>
        </w:rPr>
      </w:pPr>
      <w:r>
        <w:rPr>
          <w:rFonts w:ascii="Times New Roman" w:hAnsi="Times New Roman" w:cs="Times New Roman"/>
        </w:rPr>
        <w:t xml:space="preserve">Zakonom o Proračunu i Pravilnikom o postupku zaduživanja te davanja jamstava i suglasnosti jedinica lokalne i područne (regionalne) samouprave (NN 55/09, 139/10) propisana je obaveza i rok dostave Ministarstvu financija ugovora o zaduženju, izvješća o zaduženju, danim jamstvima i suglasnostima na Obrascu IZJS- Izvješće o zaduženju/jamstvu/suglasnosti. Skenirani Ugovor i Obrazac (potpisan od strane načelnika i pečatiran) dostavlja se na e-mail adresu: </w:t>
      </w:r>
      <w:hyperlink r:id="rId8" w:history="1">
        <w:r w:rsidRPr="00046965">
          <w:rPr>
            <w:rStyle w:val="Hiperveza"/>
            <w:rFonts w:ascii="Times New Roman" w:hAnsi="Times New Roman" w:cs="Times New Roman"/>
          </w:rPr>
          <w:t>lokalni.proracun@mfin.hr</w:t>
        </w:r>
      </w:hyperlink>
      <w:r>
        <w:rPr>
          <w:rFonts w:ascii="Times New Roman" w:hAnsi="Times New Roman" w:cs="Times New Roman"/>
        </w:rPr>
        <w:t>.</w:t>
      </w:r>
    </w:p>
    <w:p w:rsidR="005E5276" w:rsidRDefault="005E5276" w:rsidP="005E5276">
      <w:pPr>
        <w:rPr>
          <w:rFonts w:ascii="Times New Roman" w:hAnsi="Times New Roman" w:cs="Times New Roman"/>
        </w:rPr>
      </w:pPr>
    </w:p>
    <w:p w:rsidR="005E5276" w:rsidRDefault="005E5276" w:rsidP="005E5276">
      <w:pPr>
        <w:rPr>
          <w:rFonts w:ascii="Times New Roman" w:hAnsi="Times New Roman" w:cs="Times New Roman"/>
        </w:rPr>
      </w:pPr>
      <w:r>
        <w:rPr>
          <w:rFonts w:ascii="Times New Roman" w:hAnsi="Times New Roman" w:cs="Times New Roman"/>
        </w:rPr>
        <w:lastRenderedPageBreak/>
        <w:t>5.4.UNOS PODATAKA IZ PRORAČUNA OPĆINE MARINA U WEB APLIKACIJU ZA STATISTIČKE POTREBE</w:t>
      </w:r>
    </w:p>
    <w:p w:rsidR="005E5276" w:rsidRDefault="005E5276" w:rsidP="005E5276">
      <w:pPr>
        <w:rPr>
          <w:rFonts w:ascii="Times New Roman" w:hAnsi="Times New Roman" w:cs="Times New Roman"/>
        </w:rPr>
      </w:pPr>
      <w:r>
        <w:rPr>
          <w:rFonts w:ascii="Times New Roman" w:hAnsi="Times New Roman" w:cs="Times New Roman"/>
        </w:rPr>
        <w:t>Za potrebe statističkog praćenja, u posebnu web aplikaciju Ministarstva financija „Financijski planovi JLP(R)S“ (raspoloživu na stranici: https:www3</w:t>
      </w:r>
      <w:r w:rsidR="002B67EB">
        <w:rPr>
          <w:rFonts w:ascii="Times New Roman" w:hAnsi="Times New Roman" w:cs="Times New Roman"/>
        </w:rPr>
        <w:t>.apis.hr/wab/servlet/proweb/webjlprs/LogIN), jedinice lokalne i područne (regionalne) samouprave, kao i prethodnih godina, unose podatke iz sljedećih dokumenata:</w:t>
      </w:r>
    </w:p>
    <w:p w:rsidR="002B67EB" w:rsidRDefault="002B67EB" w:rsidP="002B67EB">
      <w:pPr>
        <w:pStyle w:val="Odlomakpopisa"/>
        <w:numPr>
          <w:ilvl w:val="0"/>
          <w:numId w:val="2"/>
        </w:numPr>
        <w:rPr>
          <w:rFonts w:ascii="Times New Roman" w:hAnsi="Times New Roman" w:cs="Times New Roman"/>
        </w:rPr>
      </w:pPr>
      <w:r>
        <w:rPr>
          <w:rFonts w:ascii="Times New Roman" w:hAnsi="Times New Roman" w:cs="Times New Roman"/>
        </w:rPr>
        <w:t>Proračuna za 2022. i projekcija za 2023. i 2024.</w:t>
      </w:r>
    </w:p>
    <w:p w:rsidR="002B67EB" w:rsidRDefault="002B67EB" w:rsidP="002B67EB">
      <w:pPr>
        <w:pStyle w:val="Odlomakpopisa"/>
        <w:numPr>
          <w:ilvl w:val="0"/>
          <w:numId w:val="2"/>
        </w:numPr>
        <w:rPr>
          <w:rFonts w:ascii="Times New Roman" w:hAnsi="Times New Roman" w:cs="Times New Roman"/>
        </w:rPr>
      </w:pPr>
      <w:r>
        <w:rPr>
          <w:rFonts w:ascii="Times New Roman" w:hAnsi="Times New Roman" w:cs="Times New Roman"/>
        </w:rPr>
        <w:t>Svih izmjena i dopuna proračuna za 2022.</w:t>
      </w:r>
    </w:p>
    <w:p w:rsidR="002B67EB" w:rsidRDefault="002B67EB" w:rsidP="002B67EB">
      <w:pPr>
        <w:rPr>
          <w:rFonts w:ascii="Times New Roman" w:hAnsi="Times New Roman" w:cs="Times New Roman"/>
        </w:rPr>
      </w:pPr>
      <w:r>
        <w:rPr>
          <w:rFonts w:ascii="Times New Roman" w:hAnsi="Times New Roman" w:cs="Times New Roman"/>
        </w:rPr>
        <w:t>Sve podatke u aplikaciju potrebno je unositi kontinuirano i to najkasnije 15 dana od dana stupanja na snagu svakog pojedinog dokumenta.</w:t>
      </w:r>
    </w:p>
    <w:p w:rsidR="002B67EB" w:rsidRDefault="002B67EB" w:rsidP="002B67EB">
      <w:pPr>
        <w:rPr>
          <w:rFonts w:ascii="Times New Roman" w:hAnsi="Times New Roman" w:cs="Times New Roman"/>
        </w:rPr>
      </w:pPr>
      <w:r>
        <w:rPr>
          <w:rFonts w:ascii="Times New Roman" w:hAnsi="Times New Roman" w:cs="Times New Roman"/>
        </w:rPr>
        <w:t xml:space="preserve">Upute će se objavit na Internet stranici Općine Marina </w:t>
      </w:r>
      <w:hyperlink r:id="rId9" w:history="1">
        <w:r w:rsidRPr="00046965">
          <w:rPr>
            <w:rStyle w:val="Hiperveza"/>
            <w:rFonts w:ascii="Times New Roman" w:hAnsi="Times New Roman" w:cs="Times New Roman"/>
          </w:rPr>
          <w:t>www.marina.hr</w:t>
        </w:r>
      </w:hyperlink>
      <w:r>
        <w:rPr>
          <w:rFonts w:ascii="Times New Roman" w:hAnsi="Times New Roman" w:cs="Times New Roman"/>
        </w:rPr>
        <w:t>.</w:t>
      </w:r>
    </w:p>
    <w:p w:rsidR="002B67EB" w:rsidRDefault="002B67EB" w:rsidP="002B67EB">
      <w:pPr>
        <w:rPr>
          <w:rFonts w:ascii="Times New Roman" w:hAnsi="Times New Roman" w:cs="Times New Roman"/>
        </w:rPr>
      </w:pPr>
    </w:p>
    <w:p w:rsidR="002B67EB" w:rsidRDefault="002B67EB" w:rsidP="002B67EB">
      <w:pPr>
        <w:rPr>
          <w:rFonts w:ascii="Times New Roman" w:hAnsi="Times New Roman" w:cs="Times New Roman"/>
        </w:rPr>
      </w:pPr>
      <w:r>
        <w:rPr>
          <w:rFonts w:ascii="Times New Roman" w:hAnsi="Times New Roman" w:cs="Times New Roman"/>
        </w:rPr>
        <w:t>KLASA: 400-06/21-60/01                                                          JEDINSTVENI UPRAVNI ODJEL</w:t>
      </w:r>
    </w:p>
    <w:p w:rsidR="002B67EB" w:rsidRDefault="002B67EB" w:rsidP="002B67EB">
      <w:pPr>
        <w:rPr>
          <w:rFonts w:ascii="Times New Roman" w:hAnsi="Times New Roman" w:cs="Times New Roman"/>
        </w:rPr>
      </w:pPr>
      <w:r>
        <w:rPr>
          <w:rFonts w:ascii="Times New Roman" w:hAnsi="Times New Roman" w:cs="Times New Roman"/>
        </w:rPr>
        <w:t>URBROJ: 2184/02-03/02-21-1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v.d. Pročelnika </w:t>
      </w:r>
    </w:p>
    <w:p w:rsidR="002B67EB" w:rsidRPr="002B67EB" w:rsidRDefault="002B67EB" w:rsidP="002B67EB">
      <w:pPr>
        <w:rPr>
          <w:rFonts w:ascii="Times New Roman" w:hAnsi="Times New Roman" w:cs="Times New Roman"/>
        </w:rPr>
      </w:pPr>
      <w:r>
        <w:rPr>
          <w:rFonts w:ascii="Times New Roman" w:hAnsi="Times New Roman" w:cs="Times New Roman"/>
        </w:rPr>
        <w:t>Marina, 15. rujna 2021.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Roko Matijaš,ing.građ.</w:t>
      </w:r>
      <w:bookmarkStart w:id="0" w:name="_GoBack"/>
      <w:bookmarkEnd w:id="0"/>
    </w:p>
    <w:p w:rsidR="007855AC" w:rsidRDefault="007855AC" w:rsidP="007855AC">
      <w:pPr>
        <w:rPr>
          <w:rFonts w:ascii="Times New Roman" w:hAnsi="Times New Roman" w:cs="Times New Roman"/>
        </w:rPr>
      </w:pPr>
    </w:p>
    <w:p w:rsidR="007855AC" w:rsidRPr="007855AC" w:rsidRDefault="007855AC" w:rsidP="007855AC">
      <w:pPr>
        <w:rPr>
          <w:rFonts w:ascii="Times New Roman" w:hAnsi="Times New Roman" w:cs="Times New Roman"/>
        </w:rPr>
      </w:pPr>
    </w:p>
    <w:sectPr w:rsidR="007855AC" w:rsidRPr="00785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225F0"/>
    <w:multiLevelType w:val="multilevel"/>
    <w:tmpl w:val="955A02A0"/>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ECD7255"/>
    <w:multiLevelType w:val="hybridMultilevel"/>
    <w:tmpl w:val="52DEA862"/>
    <w:lvl w:ilvl="0" w:tplc="203ACDE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6737637"/>
    <w:multiLevelType w:val="hybridMultilevel"/>
    <w:tmpl w:val="C57241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CCE4A01"/>
    <w:multiLevelType w:val="multilevel"/>
    <w:tmpl w:val="99BE99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2E30ECC"/>
    <w:multiLevelType w:val="hybridMultilevel"/>
    <w:tmpl w:val="774057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01C1EFF"/>
    <w:multiLevelType w:val="hybridMultilevel"/>
    <w:tmpl w:val="CD6425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B566B7B"/>
    <w:multiLevelType w:val="hybridMultilevel"/>
    <w:tmpl w:val="133418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23"/>
    <w:rsid w:val="0018483A"/>
    <w:rsid w:val="00292CBC"/>
    <w:rsid w:val="002B67EB"/>
    <w:rsid w:val="003C51B4"/>
    <w:rsid w:val="004959D7"/>
    <w:rsid w:val="00525EB9"/>
    <w:rsid w:val="005338FB"/>
    <w:rsid w:val="005E5276"/>
    <w:rsid w:val="005F6F31"/>
    <w:rsid w:val="006E1A9C"/>
    <w:rsid w:val="0074584D"/>
    <w:rsid w:val="007855AC"/>
    <w:rsid w:val="007A5C97"/>
    <w:rsid w:val="00972239"/>
    <w:rsid w:val="00A114CA"/>
    <w:rsid w:val="00AE0459"/>
    <w:rsid w:val="00AF723F"/>
    <w:rsid w:val="00B471CD"/>
    <w:rsid w:val="00BB7CBE"/>
    <w:rsid w:val="00D05AAB"/>
    <w:rsid w:val="00D33032"/>
    <w:rsid w:val="00D82F55"/>
    <w:rsid w:val="00DB5223"/>
    <w:rsid w:val="00DD0F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5917"/>
  <w15:chartTrackingRefBased/>
  <w15:docId w15:val="{E1B87BA7-0D1C-481C-9B3F-53554FFB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5223"/>
    <w:pPr>
      <w:spacing w:after="0" w:line="240" w:lineRule="auto"/>
    </w:pPr>
  </w:style>
  <w:style w:type="paragraph" w:styleId="Odlomakpopisa">
    <w:name w:val="List Paragraph"/>
    <w:basedOn w:val="Normal"/>
    <w:uiPriority w:val="34"/>
    <w:qFormat/>
    <w:rsid w:val="00AE0459"/>
    <w:pPr>
      <w:ind w:left="720"/>
      <w:contextualSpacing/>
    </w:pPr>
  </w:style>
  <w:style w:type="character" w:styleId="Hiperveza">
    <w:name w:val="Hyperlink"/>
    <w:basedOn w:val="Zadanifontodlomka"/>
    <w:uiPriority w:val="99"/>
    <w:unhideWhenUsed/>
    <w:rsid w:val="00BB7CBE"/>
    <w:rPr>
      <w:color w:val="0563C1" w:themeColor="hyperlink"/>
      <w:u w:val="single"/>
    </w:rPr>
  </w:style>
  <w:style w:type="character" w:styleId="Nerijeenospominjanje">
    <w:name w:val="Unresolved Mention"/>
    <w:basedOn w:val="Zadanifontodlomka"/>
    <w:uiPriority w:val="99"/>
    <w:semiHidden/>
    <w:unhideWhenUsed/>
    <w:rsid w:val="00BB7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kalni.proracun@mfin.hr" TargetMode="External"/><Relationship Id="rId3" Type="http://schemas.openxmlformats.org/officeDocument/2006/relationships/settings" Target="settings.xml"/><Relationship Id="rId7" Type="http://schemas.openxmlformats.org/officeDocument/2006/relationships/hyperlink" Target="mailto:dur.split@revizij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kalni.proracun@mfin.hr" TargetMode="External"/><Relationship Id="rId11" Type="http://schemas.openxmlformats.org/officeDocument/2006/relationships/theme" Target="theme/theme1.xml"/><Relationship Id="rId5" Type="http://schemas.openxmlformats.org/officeDocument/2006/relationships/hyperlink" Target="mailto:lokalni.proracuni@mfin.h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7</Pages>
  <Words>2642</Words>
  <Characters>15062</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Dujmov</dc:creator>
  <cp:keywords/>
  <dc:description/>
  <cp:lastModifiedBy>Jelena Dujmov</cp:lastModifiedBy>
  <cp:revision>8</cp:revision>
  <dcterms:created xsi:type="dcterms:W3CDTF">2021-09-17T06:50:00Z</dcterms:created>
  <dcterms:modified xsi:type="dcterms:W3CDTF">2021-09-17T11:44:00Z</dcterms:modified>
</cp:coreProperties>
</file>